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270260">
            <w:pPr>
              <w:ind w:right="253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CC683C" w:rsidRDefault="00CC683C" w:rsidP="00270260">
            <w:pPr>
              <w:ind w:right="253"/>
              <w:rPr>
                <w:bCs/>
              </w:rPr>
            </w:pPr>
            <w:r w:rsidRPr="00CC683C">
              <w:rPr>
                <w:bCs/>
              </w:rPr>
              <w:t>Физико-технологический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270260">
            <w:pPr>
              <w:ind w:right="253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CC683C" w:rsidRDefault="00CF404C" w:rsidP="00270260">
            <w:pPr>
              <w:ind w:right="253"/>
              <w:rPr>
                <w:bCs/>
              </w:rPr>
            </w:pPr>
            <w:bookmarkStart w:id="0" w:name="_GoBack"/>
            <w:r w:rsidRPr="00CC683C">
              <w:rPr>
                <w:bCs/>
              </w:rPr>
              <w:t>09.04.02</w:t>
            </w:r>
            <w:r>
              <w:rPr>
                <w:bCs/>
              </w:rPr>
              <w:t xml:space="preserve"> </w:t>
            </w:r>
            <w:r w:rsidR="00CC683C" w:rsidRPr="00CC683C">
              <w:rPr>
                <w:bCs/>
              </w:rPr>
              <w:t xml:space="preserve">Информационные системы и технологии </w:t>
            </w:r>
            <w:bookmarkEnd w:id="0"/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270260">
            <w:pPr>
              <w:ind w:right="25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CC683C" w:rsidRDefault="00CC683C" w:rsidP="00270260">
            <w:pPr>
              <w:ind w:right="253"/>
              <w:rPr>
                <w:bCs/>
              </w:rPr>
            </w:pPr>
            <w:r w:rsidRPr="00CC683C">
              <w:rPr>
                <w:bCs/>
              </w:rPr>
              <w:t>Компьютерное моделирование физических систем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270260">
            <w:pPr>
              <w:ind w:right="253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CC683C" w:rsidRPr="00CC683C" w:rsidRDefault="00CC683C" w:rsidP="00270260">
            <w:pPr>
              <w:pStyle w:val="bodytext"/>
              <w:spacing w:before="0" w:beforeAutospacing="0" w:after="0" w:afterAutospacing="0"/>
              <w:ind w:right="253" w:firstLine="317"/>
            </w:pPr>
            <w:proofErr w:type="gramStart"/>
            <w:r w:rsidRPr="00CC683C">
              <w:t>Объектами профессиональной деятельности выпускников, освоивших программу магистратуры, являются информационные процессы, технологии, системы и сети, их инструментальное (программное, техническое, организационное) обеспечение, способы и методы проектирования, отладки, производства и эксплуатации информационных технологий и систем в областях: машиностроение, приборостроение, наука, техника, образование, медицина, административное управление, юриспруденция, бизнес, предпринимательство, коммерция, менеджмент, банковские системы, безопасность информационных систем, управление технологическими процессами, механика, техническая физика, энергетика, ядерная</w:t>
            </w:r>
            <w:proofErr w:type="gramEnd"/>
            <w:r w:rsidRPr="00CC683C">
              <w:t xml:space="preserve"> </w:t>
            </w:r>
            <w:proofErr w:type="gramStart"/>
            <w:r w:rsidRPr="00CC683C">
              <w:t xml:space="preserve">энергетика, силовая электроника, металлургия, строительство, транспорт, железнодорожный транспорт, связь, телекоммуникации, управление </w:t>
            </w:r>
            <w:proofErr w:type="spellStart"/>
            <w:r w:rsidRPr="00CC683C">
              <w:t>инфокоммуникациями</w:t>
            </w:r>
            <w:proofErr w:type="spellEnd"/>
            <w:r w:rsidRPr="00CC683C">
              <w:t xml:space="preserve">, почтовая связь, химическая промышленность, сельское хозяйство, текстильная и легкая промышленность, пищевая промышленность, медицинские и биотехнологии, горное дело, обеспечение безопасности подземных предприятий и производств, геология, нефтегазовая отрасль, геодезия и картография, геоинформационные системы, лесной комплекс, химико-лесной комплекс, экология, сфера сервиса, системы массовой информации, дизайн, </w:t>
            </w:r>
            <w:proofErr w:type="spellStart"/>
            <w:r w:rsidRPr="00CC683C">
              <w:t>медиаиндустрия</w:t>
            </w:r>
            <w:proofErr w:type="spellEnd"/>
            <w:r w:rsidRPr="00CC683C">
              <w:t>, а также предприятия различного профиля</w:t>
            </w:r>
            <w:proofErr w:type="gramEnd"/>
            <w:r w:rsidRPr="00CC683C">
              <w:t xml:space="preserve"> и все виды деятельности в условиях экономики информационного общества.</w:t>
            </w:r>
          </w:p>
          <w:p w:rsidR="00BC52C0" w:rsidRDefault="00CC683C" w:rsidP="00923BC6">
            <w:pPr>
              <w:pStyle w:val="bodytext"/>
              <w:spacing w:before="0" w:beforeAutospacing="0" w:after="0" w:afterAutospacing="0"/>
              <w:ind w:right="253" w:firstLine="317"/>
            </w:pPr>
            <w:r w:rsidRPr="00CC683C">
              <w:t>Системные и профессиональные компетенции магистров в области компьютерного моделирования физических систем формируются набором дисциплин-модулей подготовки</w:t>
            </w:r>
            <w:r w:rsidR="00923BC6">
              <w:t xml:space="preserve"> базовой и вариативной части.</w:t>
            </w:r>
          </w:p>
          <w:p w:rsidR="00923BC6" w:rsidRPr="00CC683C" w:rsidRDefault="00923BC6" w:rsidP="00923BC6">
            <w:pPr>
              <w:pStyle w:val="bodytext"/>
              <w:spacing w:before="0" w:beforeAutospacing="0" w:after="0" w:afterAutospacing="0"/>
              <w:ind w:right="253" w:firstLine="317"/>
              <w:rPr>
                <w:bCs/>
              </w:rPr>
            </w:pPr>
            <w:r>
              <w:t xml:space="preserve">Большую роль в магистерской подготовке играет научно-исследовательская работа, в рамках которой студент может выбрать тему по одному из научных направлений кафедры. В </w:t>
            </w:r>
            <w:proofErr w:type="gramStart"/>
            <w:r>
              <w:t>результате</w:t>
            </w:r>
            <w:proofErr w:type="gramEnd"/>
            <w:r>
              <w:t xml:space="preserve"> обучения по магистерской программе магистрант становится специалистом в области моделирования систем различной природы. Полученные знания и умения могут быть применены в дальнейшем, как на производстве, так и в научной работе. Имеется возможность продолжения образования в аспирантуре по специальностям 01.04.14 – теплофизика и теоретическая теплотехника и 05.13.18 – математическое моделирование, численные методы и комплексы программ.</w:t>
            </w:r>
          </w:p>
        </w:tc>
      </w:tr>
    </w:tbl>
    <w:p w:rsidR="00BC52C0" w:rsidRPr="00203325" w:rsidRDefault="00BC52C0" w:rsidP="00270260">
      <w:pPr>
        <w:ind w:right="253"/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270260">
            <w:pPr>
              <w:ind w:left="-65" w:right="253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CC683C" w:rsidRDefault="00553833" w:rsidP="00270260">
            <w:pPr>
              <w:ind w:left="-65" w:right="253"/>
              <w:jc w:val="center"/>
              <w:rPr>
                <w:b/>
                <w:bCs/>
              </w:rPr>
            </w:pPr>
            <w:r w:rsidRPr="00CC683C">
              <w:rPr>
                <w:b/>
                <w:bCs/>
              </w:rPr>
              <w:t>Наименования   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270260">
            <w:pPr>
              <w:ind w:left="-65" w:right="253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553833" w:rsidP="00270260">
            <w:pPr>
              <w:ind w:right="253"/>
              <w:rPr>
                <w:b/>
                <w:bCs/>
              </w:rPr>
            </w:pPr>
            <w:r w:rsidRPr="00CC683C">
              <w:rPr>
                <w:b/>
                <w:bCs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ind w:left="-65" w:right="253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553833" w:rsidP="00270260">
            <w:pPr>
              <w:ind w:right="253"/>
              <w:rPr>
                <w:b/>
                <w:bCs/>
              </w:rPr>
            </w:pPr>
            <w:r w:rsidRPr="00CC683C">
              <w:rPr>
                <w:b/>
                <w:bCs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ind w:left="-65" w:right="253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CC683C" w:rsidP="00270260">
            <w:pPr>
              <w:ind w:right="253"/>
            </w:pPr>
            <w:r w:rsidRPr="00CC683C">
              <w:rPr>
                <w:i/>
                <w:iCs/>
                <w:spacing w:val="-1"/>
              </w:rPr>
              <w:t>Предпосылки магистерской подготовки по информационным технологиям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DA37AB" w:rsidRDefault="00DA37AB" w:rsidP="00270260">
            <w:pPr>
              <w:ind w:left="-65" w:right="253"/>
              <w:jc w:val="both"/>
            </w:pPr>
            <w:r w:rsidRPr="00DA37AB">
              <w:t xml:space="preserve">Модуль содержит следующие дисциплины: </w:t>
            </w:r>
            <w:r w:rsidR="00CC683C" w:rsidRPr="00DA37AB">
              <w:t>Англ</w:t>
            </w:r>
            <w:r w:rsidRPr="00DA37AB">
              <w:t>ийский язык, Л</w:t>
            </w:r>
            <w:r w:rsidR="00CC683C" w:rsidRPr="00DA37AB">
              <w:t xml:space="preserve">огика и методология науки и </w:t>
            </w:r>
            <w:r w:rsidR="002D5BFD" w:rsidRPr="00DA37AB">
              <w:t>Моделирование бизнес-процессов в технических системах</w:t>
            </w:r>
            <w:r w:rsidR="00CF404C">
              <w:t>. Целью модуля является формирование гуманитарных основ для подготовки магистра по компьютерному моделированию физических систем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553833" w:rsidP="00270260">
            <w:pPr>
              <w:ind w:right="253"/>
              <w:rPr>
                <w:b/>
                <w:bCs/>
              </w:rPr>
            </w:pPr>
            <w:r w:rsidRPr="00CC683C">
              <w:rPr>
                <w:b/>
                <w:bCs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270260">
            <w:pPr>
              <w:ind w:left="-65" w:right="253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CC683C" w:rsidP="00270260">
            <w:pPr>
              <w:ind w:right="253"/>
            </w:pPr>
            <w:r w:rsidRPr="00CC683C">
              <w:rPr>
                <w:i/>
              </w:rPr>
              <w:t>Основы моделирования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DA37AB" w:rsidRDefault="00DA37AB" w:rsidP="00270260">
            <w:pPr>
              <w:ind w:left="-65" w:right="253"/>
              <w:jc w:val="both"/>
            </w:pPr>
            <w:r w:rsidRPr="00DA37AB">
              <w:t xml:space="preserve">Модуль содержит следующие дисциплины: </w:t>
            </w:r>
            <w:r w:rsidR="002D5BFD" w:rsidRPr="00DA37AB">
              <w:t>Моделирование технологических процессов</w:t>
            </w:r>
            <w:r w:rsidRPr="00DA37AB">
              <w:t>,</w:t>
            </w:r>
            <w:r w:rsidR="002D5BFD" w:rsidRPr="00DA37AB">
              <w:t xml:space="preserve"> Прикладные программы для математического моделирования</w:t>
            </w:r>
            <w:r w:rsidR="00CF404C">
              <w:t xml:space="preserve">. Целью модуля является изучения основ моделирования с использованием широкого спектра прикладных программ. Практическим применением моделирования в технических системах является расчет потоков нейтронов в делящихся средах. 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CC683C" w:rsidP="00270260">
            <w:pPr>
              <w:ind w:right="253"/>
            </w:pPr>
            <w:r w:rsidRPr="00CC683C">
              <w:rPr>
                <w:i/>
              </w:rPr>
              <w:t>Физическое моделирование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DA37AB" w:rsidRDefault="00DA37AB" w:rsidP="00270260">
            <w:pPr>
              <w:ind w:left="-65" w:right="253"/>
              <w:jc w:val="both"/>
            </w:pPr>
            <w:r w:rsidRPr="00DA37AB">
              <w:t xml:space="preserve">Модуль содержит следующие дисциплины: </w:t>
            </w:r>
            <w:r w:rsidR="002D5BFD" w:rsidRPr="00DA37AB">
              <w:t>Современные проблемы физики. Физическое и математическое моделирование. Системы и технологии управления параллельными вычислениями</w:t>
            </w:r>
            <w:r w:rsidR="00CF404C">
              <w:t>. Дисциплина «Физическое и математическое моделирование» создает основу для компьютерного моделирования физических систем. При этом дисциплина «современные проблемы физики» позволяет студенту сориентироваться в наиболее перспективных для моделирования направлениях физики. Параллельные вычисления являются важным элементом моделирования сложных систем (как физических, так и технических).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553833" w:rsidP="00270260">
            <w:pPr>
              <w:ind w:right="253"/>
              <w:rPr>
                <w:b/>
                <w:bCs/>
              </w:rPr>
            </w:pPr>
            <w:r w:rsidRPr="00CC683C">
              <w:rPr>
                <w:b/>
                <w:bCs/>
              </w:rPr>
              <w:t>Модули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386559" w:rsidRDefault="00553833" w:rsidP="00270260">
            <w:pPr>
              <w:ind w:left="-65" w:right="253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CC683C" w:rsidP="00270260">
            <w:pPr>
              <w:ind w:right="253"/>
              <w:rPr>
                <w:b/>
                <w:bCs/>
              </w:rPr>
            </w:pPr>
            <w:r w:rsidRPr="00CC683C">
              <w:rPr>
                <w:i/>
              </w:rPr>
              <w:t>Методы оптимизации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FD" w:rsidRPr="00CF404C" w:rsidRDefault="00DA37AB" w:rsidP="00270260">
            <w:pPr>
              <w:ind w:right="253"/>
              <w:rPr>
                <w:i/>
              </w:rPr>
            </w:pPr>
            <w:r w:rsidRPr="00DA37AB">
              <w:t xml:space="preserve">Модуль содержит следующие дисциплины: </w:t>
            </w:r>
            <w:r w:rsidR="002D5BFD" w:rsidRPr="00DA37AB">
              <w:t>Специальные главы математики</w:t>
            </w:r>
            <w:r w:rsidRPr="00DA37AB">
              <w:t>,</w:t>
            </w:r>
            <w:r w:rsidR="002D5BFD" w:rsidRPr="00DA37AB">
              <w:t xml:space="preserve"> Обеспечение устойчивости вычислительных процессов</w:t>
            </w:r>
            <w:r w:rsidRPr="00DA37AB">
              <w:t xml:space="preserve">, </w:t>
            </w:r>
            <w:r w:rsidR="002D5BFD" w:rsidRPr="00DA37AB">
              <w:t xml:space="preserve">Метод конечных элементов. Пакет </w:t>
            </w:r>
            <w:r w:rsidR="002D5BFD" w:rsidRPr="00DA37AB">
              <w:rPr>
                <w:lang w:val="en-US"/>
              </w:rPr>
              <w:t>ANSYS</w:t>
            </w:r>
            <w:r w:rsidR="00CF404C">
              <w:t xml:space="preserve">. Дисциплина «Специальные главы математики» дает дополнительный материал (по сравнению с материалом, изученным в рамках </w:t>
            </w:r>
            <w:proofErr w:type="spellStart"/>
            <w:r w:rsidR="00CF404C">
              <w:t>бакалавриата</w:t>
            </w:r>
            <w:proofErr w:type="spellEnd"/>
            <w:r w:rsidR="00CF404C">
              <w:t xml:space="preserve">), на основе которого создается математическая основа для моделирования сложных систем. Среди основных направлений этой дисциплины можно особенно выделить теорию игр. Устойчивость вычислительных процессов является неотъемлемым элементом </w:t>
            </w:r>
            <w:r w:rsidR="00270260">
              <w:t>любого вычислительного метода (в том числе и метода конечных элементов).</w:t>
            </w:r>
          </w:p>
          <w:p w:rsidR="00553833" w:rsidRPr="00DA37AB" w:rsidRDefault="00553833" w:rsidP="00270260">
            <w:pPr>
              <w:ind w:left="-65" w:right="253"/>
              <w:jc w:val="both"/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CC683C" w:rsidP="00270260">
            <w:pPr>
              <w:ind w:right="253"/>
            </w:pPr>
            <w:r w:rsidRPr="00CC683C">
              <w:rPr>
                <w:i/>
              </w:rPr>
              <w:t>Компьютерное моделирование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BFD" w:rsidRPr="00DA37AB" w:rsidRDefault="00DA37AB" w:rsidP="00270260">
            <w:pPr>
              <w:ind w:right="253"/>
              <w:jc w:val="both"/>
              <w:rPr>
                <w:bCs/>
                <w:i/>
              </w:rPr>
            </w:pPr>
            <w:r w:rsidRPr="00DA37AB">
              <w:t xml:space="preserve">Модуль содержит следующие дисциплины: </w:t>
            </w:r>
            <w:r w:rsidR="002D5BFD" w:rsidRPr="00DA37AB">
              <w:rPr>
                <w:bCs/>
              </w:rPr>
              <w:t>Исследование операций</w:t>
            </w:r>
            <w:r w:rsidRPr="00DA37AB">
              <w:rPr>
                <w:bCs/>
              </w:rPr>
              <w:t>,</w:t>
            </w:r>
            <w:r w:rsidR="002D5BFD" w:rsidRPr="00DA37AB">
              <w:rPr>
                <w:bCs/>
              </w:rPr>
              <w:t xml:space="preserve">  Компьютерное моделирование неравновесных процессов</w:t>
            </w:r>
            <w:r w:rsidRPr="00DA37AB">
              <w:rPr>
                <w:bCs/>
              </w:rPr>
              <w:t>,</w:t>
            </w:r>
            <w:r w:rsidR="002D5BFD" w:rsidRPr="00DA37AB">
              <w:rPr>
                <w:bCs/>
              </w:rPr>
              <w:t xml:space="preserve"> Численные методы</w:t>
            </w:r>
            <w:r w:rsidR="00270260">
              <w:rPr>
                <w:bCs/>
              </w:rPr>
              <w:t>. Дисциплина «Исследование операций» дает специфические методы решения оптимизационных задач, связанные, например, с линейным программированием. Результаты этой дисциплины активно используются в различных численных методах. «Моделирование неравновесных процессов» посвящено численному моделированию процессов тепло-</w:t>
            </w:r>
            <w:proofErr w:type="spellStart"/>
            <w:r w:rsidR="00270260">
              <w:rPr>
                <w:bCs/>
              </w:rPr>
              <w:t>массообмена</w:t>
            </w:r>
            <w:proofErr w:type="spellEnd"/>
            <w:r w:rsidR="00270260">
              <w:rPr>
                <w:bCs/>
              </w:rPr>
              <w:t xml:space="preserve"> в различных средах.  </w:t>
            </w:r>
          </w:p>
          <w:p w:rsidR="00553833" w:rsidRPr="00DA37AB" w:rsidRDefault="00553833" w:rsidP="00270260">
            <w:pPr>
              <w:ind w:left="-65" w:right="253"/>
              <w:jc w:val="both"/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553833" w:rsidP="00270260">
            <w:pPr>
              <w:ind w:right="253"/>
              <w:rPr>
                <w:b/>
                <w:bCs/>
              </w:rPr>
            </w:pPr>
            <w:r w:rsidRPr="00CC683C">
              <w:rPr>
                <w:b/>
                <w:bCs/>
              </w:rPr>
              <w:t xml:space="preserve">Практики, в том числе </w:t>
            </w:r>
            <w:r w:rsidRPr="00CC683C">
              <w:rPr>
                <w:b/>
                <w:bCs/>
              </w:rPr>
              <w:lastRenderedPageBreak/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DA37AB" w:rsidRDefault="00DA37AB" w:rsidP="00270260">
            <w:pPr>
              <w:ind w:left="-65" w:right="253"/>
              <w:jc w:val="both"/>
            </w:pPr>
            <w:r w:rsidRPr="00DA37AB">
              <w:lastRenderedPageBreak/>
              <w:t xml:space="preserve">Модуль содержит следующие дисциплины: </w:t>
            </w:r>
            <w:r w:rsidR="002D5BFD" w:rsidRPr="00DA37AB">
              <w:t>Научно-исследовательская</w:t>
            </w:r>
            <w:r w:rsidRPr="00DA37AB">
              <w:t xml:space="preserve"> практика</w:t>
            </w:r>
            <w:r w:rsidR="002D5BFD" w:rsidRPr="00DA37AB">
              <w:t>, преддипломная</w:t>
            </w:r>
            <w:r w:rsidRPr="00DA37AB">
              <w:t xml:space="preserve"> практика</w:t>
            </w:r>
            <w:r w:rsidR="002D5BFD" w:rsidRPr="00DA37AB">
              <w:t>, НИР</w:t>
            </w:r>
            <w:r w:rsidR="00270260">
              <w:t xml:space="preserve">. Целью практики является закрепление знаний, полученных в теоретических курсах и их применение к </w:t>
            </w:r>
            <w:r w:rsidR="00270260">
              <w:lastRenderedPageBreak/>
              <w:t>моделированию процессов, изучаемых на конкретном предприятии. Научно-исследовательская работа представляет собой самостоятельное исследование под руководством преподавателя по широкому спектру научных направлений: моделирование газовых центрифуг, моделирование процессов, происходящих в реакторном топливе, моделирование процессов переноса в живых системах и других.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553833" w:rsidP="00270260">
            <w:pPr>
              <w:ind w:right="253"/>
              <w:rPr>
                <w:b/>
                <w:bCs/>
              </w:rPr>
            </w:pPr>
            <w:r w:rsidRPr="00CC683C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DA37AB" w:rsidRDefault="002D5BFD" w:rsidP="00270260">
            <w:pPr>
              <w:ind w:left="-65" w:right="253"/>
              <w:jc w:val="both"/>
            </w:pPr>
            <w:r w:rsidRPr="00DA37AB">
              <w:t>Итоговая государственная аттестация</w:t>
            </w:r>
            <w:r w:rsidR="00270260">
              <w:t xml:space="preserve"> представляет собой написание и защиту выпускной квалификационной работы, которая является продолжением научно-исследовательской работы, проводимой магистрантом в течения его обучения в магистратуре.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CC683C" w:rsidRDefault="00CC683C" w:rsidP="00270260">
            <w:pPr>
              <w:ind w:right="253"/>
              <w:rPr>
                <w:b/>
              </w:rPr>
            </w:pPr>
            <w:r w:rsidRPr="00CC683C">
              <w:rPr>
                <w:b/>
              </w:rPr>
              <w:t>Факультатив</w:t>
            </w:r>
          </w:p>
          <w:p w:rsidR="00CC683C" w:rsidRPr="00CC683C" w:rsidRDefault="00CC683C" w:rsidP="00270260">
            <w:pPr>
              <w:ind w:right="253"/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DA37AB" w:rsidRDefault="00553833" w:rsidP="00270260">
            <w:pPr>
              <w:ind w:left="-65" w:right="253"/>
              <w:jc w:val="both"/>
            </w:pPr>
          </w:p>
        </w:tc>
      </w:tr>
      <w:tr w:rsidR="00CC683C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3C" w:rsidRPr="00E95255" w:rsidRDefault="00CC683C" w:rsidP="00270260">
            <w:pPr>
              <w:numPr>
                <w:ilvl w:val="0"/>
                <w:numId w:val="1"/>
              </w:numPr>
              <w:ind w:left="0" w:right="253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3C" w:rsidRPr="00CC683C" w:rsidRDefault="00CC683C" w:rsidP="00270260">
            <w:pPr>
              <w:ind w:right="253"/>
            </w:pPr>
            <w:r w:rsidRPr="00CC683C">
              <w:rPr>
                <w:i/>
              </w:rPr>
              <w:t>Высокопроизводительное моделирование на графических процессорах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83C" w:rsidRPr="00DA37AB" w:rsidRDefault="00DA37AB" w:rsidP="00270260">
            <w:pPr>
              <w:ind w:left="-65" w:right="253"/>
              <w:jc w:val="both"/>
            </w:pPr>
            <w:r w:rsidRPr="00DA37AB">
              <w:t>Модуль содержит следующие дисциплины: Высокопроизводительное моделирование на графических процессорах</w:t>
            </w:r>
            <w:r w:rsidR="00270260">
              <w:t>. Факультативное изучение этой дисциплины позволит магистранту получить дополнительные знания, по сравнению с полученными в рамках дисциплины «</w:t>
            </w:r>
            <w:r w:rsidR="006A5B09">
              <w:t>Системы и технологии управления параллельными вычислениями»</w:t>
            </w:r>
            <w:r w:rsidR="00270260">
              <w:t xml:space="preserve"> 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>ФИО</w:t>
      </w:r>
      <w:r w:rsidR="00117920"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3F100B45"/>
    <w:multiLevelType w:val="hybridMultilevel"/>
    <w:tmpl w:val="F3300FA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117920"/>
    <w:rsid w:val="00203325"/>
    <w:rsid w:val="00216D8B"/>
    <w:rsid w:val="00240165"/>
    <w:rsid w:val="00270260"/>
    <w:rsid w:val="002B2AC8"/>
    <w:rsid w:val="002D5BFD"/>
    <w:rsid w:val="002E15E9"/>
    <w:rsid w:val="002F0151"/>
    <w:rsid w:val="00386559"/>
    <w:rsid w:val="003A6223"/>
    <w:rsid w:val="003F47D0"/>
    <w:rsid w:val="004B267B"/>
    <w:rsid w:val="005019D3"/>
    <w:rsid w:val="00553833"/>
    <w:rsid w:val="00560470"/>
    <w:rsid w:val="005620E5"/>
    <w:rsid w:val="005A680F"/>
    <w:rsid w:val="006348F8"/>
    <w:rsid w:val="00640828"/>
    <w:rsid w:val="00666CF6"/>
    <w:rsid w:val="006A0DBB"/>
    <w:rsid w:val="006A42CE"/>
    <w:rsid w:val="006A5B09"/>
    <w:rsid w:val="006D50CC"/>
    <w:rsid w:val="006F0EB5"/>
    <w:rsid w:val="006F2928"/>
    <w:rsid w:val="00751D13"/>
    <w:rsid w:val="0075577F"/>
    <w:rsid w:val="007A59F0"/>
    <w:rsid w:val="007E5ADF"/>
    <w:rsid w:val="00806FFC"/>
    <w:rsid w:val="008846D7"/>
    <w:rsid w:val="008B51CF"/>
    <w:rsid w:val="008C1F9D"/>
    <w:rsid w:val="00923BC6"/>
    <w:rsid w:val="0094031A"/>
    <w:rsid w:val="00946E1C"/>
    <w:rsid w:val="009519A3"/>
    <w:rsid w:val="00986028"/>
    <w:rsid w:val="00A1733A"/>
    <w:rsid w:val="00A21479"/>
    <w:rsid w:val="00A21C85"/>
    <w:rsid w:val="00A61FB6"/>
    <w:rsid w:val="00A9454C"/>
    <w:rsid w:val="00AC6C94"/>
    <w:rsid w:val="00AF4E18"/>
    <w:rsid w:val="00AF5C71"/>
    <w:rsid w:val="00B03D2B"/>
    <w:rsid w:val="00B9031E"/>
    <w:rsid w:val="00BC52C0"/>
    <w:rsid w:val="00C56D68"/>
    <w:rsid w:val="00CC13E1"/>
    <w:rsid w:val="00CC683C"/>
    <w:rsid w:val="00CF404C"/>
    <w:rsid w:val="00D01173"/>
    <w:rsid w:val="00D71342"/>
    <w:rsid w:val="00DA37AB"/>
    <w:rsid w:val="00DC2084"/>
    <w:rsid w:val="00DD30BE"/>
    <w:rsid w:val="00E4482C"/>
    <w:rsid w:val="00E76ACE"/>
    <w:rsid w:val="00E95255"/>
    <w:rsid w:val="00EC43B2"/>
    <w:rsid w:val="00F350B0"/>
    <w:rsid w:val="00F46C13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1</cp:lastModifiedBy>
  <cp:revision>2</cp:revision>
  <cp:lastPrinted>2013-11-12T03:35:00Z</cp:lastPrinted>
  <dcterms:created xsi:type="dcterms:W3CDTF">2016-05-05T06:46:00Z</dcterms:created>
  <dcterms:modified xsi:type="dcterms:W3CDTF">2016-05-05T06:46:00Z</dcterms:modified>
</cp:coreProperties>
</file>