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0E06C7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0E06C7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0E06C7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0E06C7" w:rsidRDefault="008C3CB0" w:rsidP="00FD2D31">
            <w:pPr>
              <w:rPr>
                <w:bCs/>
                <w:sz w:val="20"/>
                <w:szCs w:val="20"/>
              </w:rPr>
            </w:pPr>
            <w:r w:rsidRPr="000E06C7">
              <w:rPr>
                <w:bCs/>
                <w:sz w:val="20"/>
                <w:szCs w:val="20"/>
              </w:rPr>
              <w:t>ХТИ</w:t>
            </w:r>
          </w:p>
        </w:tc>
      </w:tr>
      <w:tr w:rsidR="00BC52C0" w:rsidRPr="000E06C7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0E06C7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0E06C7">
              <w:rPr>
                <w:b/>
                <w:bCs/>
                <w:sz w:val="20"/>
                <w:szCs w:val="20"/>
              </w:rPr>
              <w:t>Направление</w:t>
            </w:r>
            <w:r w:rsidR="00553833" w:rsidRPr="000E06C7">
              <w:rPr>
                <w:b/>
                <w:bCs/>
                <w:sz w:val="20"/>
                <w:szCs w:val="20"/>
              </w:rPr>
              <w:t xml:space="preserve"> </w:t>
            </w:r>
            <w:r w:rsidR="00553833" w:rsidRPr="000E06C7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0E06C7" w:rsidRDefault="00B6509C" w:rsidP="00B91ABB">
            <w:pPr>
              <w:rPr>
                <w:bCs/>
                <w:sz w:val="20"/>
                <w:szCs w:val="20"/>
              </w:rPr>
            </w:pPr>
            <w:r w:rsidRPr="000E06C7">
              <w:rPr>
                <w:b/>
                <w:sz w:val="20"/>
                <w:szCs w:val="20"/>
              </w:rPr>
              <w:t>1</w:t>
            </w:r>
            <w:r w:rsidR="00B91ABB" w:rsidRPr="000E06C7">
              <w:rPr>
                <w:b/>
                <w:sz w:val="20"/>
                <w:szCs w:val="20"/>
              </w:rPr>
              <w:t>8</w:t>
            </w:r>
            <w:r w:rsidRPr="000E06C7">
              <w:rPr>
                <w:b/>
                <w:sz w:val="20"/>
                <w:szCs w:val="20"/>
              </w:rPr>
              <w:t>.0</w:t>
            </w:r>
            <w:r w:rsidR="00705CC5" w:rsidRPr="000E06C7">
              <w:rPr>
                <w:b/>
                <w:sz w:val="20"/>
                <w:szCs w:val="20"/>
              </w:rPr>
              <w:t>4</w:t>
            </w:r>
            <w:r w:rsidR="000E06C7" w:rsidRPr="000E06C7">
              <w:rPr>
                <w:b/>
                <w:sz w:val="20"/>
                <w:szCs w:val="20"/>
              </w:rPr>
              <w:t xml:space="preserve">.01 </w:t>
            </w:r>
            <w:r w:rsidR="00B91ABB" w:rsidRPr="000E06C7">
              <w:rPr>
                <w:b/>
                <w:sz w:val="20"/>
                <w:szCs w:val="20"/>
              </w:rPr>
              <w:t>Хим</w:t>
            </w:r>
            <w:r w:rsidR="000E06C7" w:rsidRPr="000E06C7">
              <w:rPr>
                <w:b/>
                <w:sz w:val="20"/>
                <w:szCs w:val="20"/>
              </w:rPr>
              <w:t xml:space="preserve">ическая </w:t>
            </w:r>
            <w:r w:rsidR="00B91ABB" w:rsidRPr="000E06C7">
              <w:rPr>
                <w:b/>
                <w:sz w:val="20"/>
                <w:szCs w:val="20"/>
              </w:rPr>
              <w:t>технология</w:t>
            </w:r>
          </w:p>
        </w:tc>
      </w:tr>
      <w:tr w:rsidR="00BC52C0" w:rsidRPr="000E06C7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0E06C7" w:rsidRDefault="00553833" w:rsidP="00553833">
            <w:pPr>
              <w:rPr>
                <w:b/>
                <w:bCs/>
                <w:sz w:val="20"/>
                <w:szCs w:val="20"/>
              </w:rPr>
            </w:pPr>
            <w:r w:rsidRPr="000E06C7"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0E06C7" w:rsidRDefault="000E06C7" w:rsidP="00944023">
            <w:pPr>
              <w:rPr>
                <w:b/>
                <w:bCs/>
                <w:sz w:val="20"/>
                <w:szCs w:val="20"/>
              </w:rPr>
            </w:pPr>
            <w:r w:rsidRPr="000E06C7">
              <w:rPr>
                <w:b/>
                <w:sz w:val="20"/>
                <w:szCs w:val="20"/>
              </w:rPr>
              <w:t xml:space="preserve">18.04.01/35.01 </w:t>
            </w:r>
            <w:r w:rsidR="00B91ABB" w:rsidRPr="000E06C7">
              <w:rPr>
                <w:b/>
                <w:sz w:val="20"/>
                <w:szCs w:val="20"/>
              </w:rPr>
              <w:t xml:space="preserve">Химическая технология </w:t>
            </w:r>
            <w:r w:rsidR="00944023" w:rsidRPr="000E06C7">
              <w:rPr>
                <w:b/>
                <w:sz w:val="20"/>
                <w:szCs w:val="20"/>
              </w:rPr>
              <w:t>природных энергоносителей, продуктов нефтехимии и полимеров</w:t>
            </w:r>
          </w:p>
        </w:tc>
      </w:tr>
      <w:tr w:rsidR="00BC52C0" w:rsidRPr="000E06C7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0E06C7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0E06C7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4C38DF" w:rsidRPr="000E06C7" w:rsidRDefault="004C38DF" w:rsidP="004C38DF">
            <w:pPr>
              <w:ind w:firstLine="459"/>
              <w:jc w:val="both"/>
              <w:rPr>
                <w:sz w:val="20"/>
                <w:szCs w:val="20"/>
              </w:rPr>
            </w:pPr>
            <w:r w:rsidRPr="000E06C7">
              <w:rPr>
                <w:bCs/>
                <w:sz w:val="20"/>
                <w:szCs w:val="20"/>
              </w:rPr>
              <w:t xml:space="preserve">Образовательная программа ориентирована на подготовку высокообразованных  магистров- технологов для работы в области  </w:t>
            </w:r>
            <w:proofErr w:type="spellStart"/>
            <w:r w:rsidRPr="000E06C7">
              <w:rPr>
                <w:bCs/>
                <w:sz w:val="20"/>
                <w:szCs w:val="20"/>
              </w:rPr>
              <w:t>нефте</w:t>
            </w:r>
            <w:proofErr w:type="spellEnd"/>
            <w:r w:rsidRPr="000E06C7">
              <w:rPr>
                <w:bCs/>
                <w:sz w:val="20"/>
                <w:szCs w:val="20"/>
              </w:rPr>
              <w:t xml:space="preserve">- и </w:t>
            </w:r>
            <w:proofErr w:type="spellStart"/>
            <w:r w:rsidRPr="000E06C7">
              <w:rPr>
                <w:bCs/>
                <w:sz w:val="20"/>
                <w:szCs w:val="20"/>
              </w:rPr>
              <w:t>газахимии</w:t>
            </w:r>
            <w:proofErr w:type="spellEnd"/>
            <w:r w:rsidRPr="000E06C7">
              <w:rPr>
                <w:bCs/>
                <w:sz w:val="20"/>
                <w:szCs w:val="20"/>
              </w:rPr>
              <w:t xml:space="preserve">. Основными научными и технологическими задачами программы являются: изучение нефти как природного объекта и важнейшего источника химического сырья; изучение и разработка процессов превращения нефти в химические продукты (полупродукты, мономеры и др.); создание научных основ производства технически полезных продуктов (топлива и масла, присадки к топливам и маслам, растворители и др.) и альтернативных видов топлив; изучение процессов на основе химии соединений с одним атомом углерод, предметом изучения которой являются химические технологии получения в массовом масштабе органических соединений, имеющих товарную ценность. В рамках этой специальности осуществляется изучение химических, физико- химических и физических закономерностей, характерных для конкретной технологии, с целью создания </w:t>
            </w:r>
            <w:proofErr w:type="spellStart"/>
            <w:r w:rsidRPr="000E06C7">
              <w:rPr>
                <w:bCs/>
                <w:sz w:val="20"/>
                <w:szCs w:val="20"/>
              </w:rPr>
              <w:t>энерго</w:t>
            </w:r>
            <w:proofErr w:type="spellEnd"/>
            <w:r w:rsidRPr="000E06C7">
              <w:rPr>
                <w:bCs/>
                <w:sz w:val="20"/>
                <w:szCs w:val="20"/>
              </w:rPr>
              <w:t xml:space="preserve">- и ресурсосберегающих, экологически безопасных производств, обладающих высоким качеством продуктов и низкой их себестоимостью. </w:t>
            </w:r>
            <w:r w:rsidRPr="000E06C7">
              <w:rPr>
                <w:sz w:val="20"/>
                <w:szCs w:val="20"/>
              </w:rPr>
              <w:t xml:space="preserve">Магистерская программа предусматривает подготовку исследователей в области переработки сланцев, торфа, угля, технического углерода, природных и попутных газов, нефти. </w:t>
            </w:r>
          </w:p>
          <w:p w:rsidR="004C38DF" w:rsidRPr="000E06C7" w:rsidRDefault="004C38DF" w:rsidP="004C38DF">
            <w:pPr>
              <w:ind w:firstLine="459"/>
              <w:jc w:val="both"/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>Выпускники кафедры востребованы во многих отраслях химической промышленности, и, прежде всего, являются молодым потенциалом кадрового состава ОАО «Нижнетагильский металлургический комбинат» (ОАО «НТМК»), ОАО "</w:t>
            </w:r>
            <w:proofErr w:type="spellStart"/>
            <w:r w:rsidRPr="000E06C7">
              <w:rPr>
                <w:sz w:val="20"/>
                <w:szCs w:val="20"/>
              </w:rPr>
              <w:t>Уралхимпласт</w:t>
            </w:r>
            <w:proofErr w:type="spellEnd"/>
            <w:r w:rsidRPr="000E06C7">
              <w:rPr>
                <w:sz w:val="20"/>
                <w:szCs w:val="20"/>
              </w:rPr>
              <w:t>", OAO «</w:t>
            </w:r>
            <w:proofErr w:type="spellStart"/>
            <w:r w:rsidRPr="000E06C7">
              <w:rPr>
                <w:sz w:val="20"/>
                <w:szCs w:val="20"/>
              </w:rPr>
              <w:t>Метафракс</w:t>
            </w:r>
            <w:proofErr w:type="spellEnd"/>
            <w:r w:rsidRPr="000E06C7">
              <w:rPr>
                <w:sz w:val="20"/>
                <w:szCs w:val="20"/>
              </w:rPr>
              <w:t>», ООО "</w:t>
            </w:r>
            <w:proofErr w:type="spellStart"/>
            <w:r w:rsidRPr="000E06C7">
              <w:rPr>
                <w:sz w:val="20"/>
                <w:szCs w:val="20"/>
              </w:rPr>
              <w:t>Уралшина</w:t>
            </w:r>
            <w:proofErr w:type="spellEnd"/>
            <w:r w:rsidRPr="000E06C7">
              <w:rPr>
                <w:sz w:val="20"/>
                <w:szCs w:val="20"/>
              </w:rPr>
              <w:t>", ФГУП ВУХИН. Еще во время учебы студенты проходят производственную и преддипломную практику на этих предприятиях, а также ОАО «</w:t>
            </w:r>
            <w:proofErr w:type="spellStart"/>
            <w:r w:rsidRPr="000E06C7">
              <w:rPr>
                <w:sz w:val="20"/>
                <w:szCs w:val="20"/>
              </w:rPr>
              <w:t>Губахинский</w:t>
            </w:r>
            <w:proofErr w:type="spellEnd"/>
            <w:r w:rsidRPr="000E06C7">
              <w:rPr>
                <w:sz w:val="20"/>
                <w:szCs w:val="20"/>
              </w:rPr>
              <w:t xml:space="preserve"> кокс», ОАО «</w:t>
            </w:r>
            <w:proofErr w:type="spellStart"/>
            <w:r w:rsidRPr="000E06C7">
              <w:rPr>
                <w:sz w:val="20"/>
                <w:szCs w:val="20"/>
              </w:rPr>
              <w:t>Невинномысский</w:t>
            </w:r>
            <w:proofErr w:type="spellEnd"/>
            <w:r w:rsidRPr="000E06C7">
              <w:rPr>
                <w:sz w:val="20"/>
                <w:szCs w:val="20"/>
              </w:rPr>
              <w:t xml:space="preserve"> Азот», ОАО </w:t>
            </w:r>
            <w:proofErr w:type="spellStart"/>
            <w:r w:rsidRPr="000E06C7">
              <w:rPr>
                <w:sz w:val="20"/>
                <w:szCs w:val="20"/>
              </w:rPr>
              <w:t>Антипинский</w:t>
            </w:r>
            <w:proofErr w:type="spellEnd"/>
            <w:r w:rsidRPr="000E06C7">
              <w:rPr>
                <w:sz w:val="20"/>
                <w:szCs w:val="20"/>
              </w:rPr>
              <w:t xml:space="preserve"> НПЗ и других предприятиях, получая ценный опыт практической деятельности по специальности.</w:t>
            </w:r>
          </w:p>
          <w:p w:rsidR="004C38DF" w:rsidRPr="000E06C7" w:rsidRDefault="004C38DF" w:rsidP="004C38DF">
            <w:pPr>
              <w:ind w:firstLine="459"/>
              <w:jc w:val="both"/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 xml:space="preserve"> Магистерская программа включает курсы, которые посвящены количественному описанию кинетики и термодинамики гомогенных, гетерогенных и </w:t>
            </w:r>
            <w:proofErr w:type="spellStart"/>
            <w:r w:rsidRPr="000E06C7">
              <w:rPr>
                <w:sz w:val="20"/>
                <w:szCs w:val="20"/>
              </w:rPr>
              <w:t>гетерофазных</w:t>
            </w:r>
            <w:proofErr w:type="spellEnd"/>
            <w:r w:rsidRPr="000E06C7">
              <w:rPr>
                <w:sz w:val="20"/>
                <w:szCs w:val="20"/>
              </w:rPr>
              <w:t xml:space="preserve"> процессов, применению процессов конденсации, испарения, ректификации, абсорбции, адсорбции, экстракции для разделения сложных жидких и газовых смесей, </w:t>
            </w:r>
            <w:proofErr w:type="spellStart"/>
            <w:r w:rsidRPr="000E06C7">
              <w:rPr>
                <w:sz w:val="20"/>
                <w:szCs w:val="20"/>
              </w:rPr>
              <w:t>топохимии</w:t>
            </w:r>
            <w:proofErr w:type="spellEnd"/>
            <w:r w:rsidRPr="000E06C7">
              <w:rPr>
                <w:sz w:val="20"/>
                <w:szCs w:val="20"/>
              </w:rPr>
              <w:t xml:space="preserve"> </w:t>
            </w:r>
            <w:proofErr w:type="spellStart"/>
            <w:r w:rsidRPr="000E06C7">
              <w:rPr>
                <w:sz w:val="20"/>
                <w:szCs w:val="20"/>
              </w:rPr>
              <w:t>гетерофазных</w:t>
            </w:r>
            <w:proofErr w:type="spellEnd"/>
            <w:r w:rsidRPr="000E06C7">
              <w:rPr>
                <w:sz w:val="20"/>
                <w:szCs w:val="20"/>
              </w:rPr>
              <w:t xml:space="preserve"> реакций в химической технологии природных энергоносителей и углеродных материалов, теплофизики и </w:t>
            </w:r>
            <w:proofErr w:type="spellStart"/>
            <w:r w:rsidRPr="000E06C7">
              <w:rPr>
                <w:sz w:val="20"/>
                <w:szCs w:val="20"/>
              </w:rPr>
              <w:t>химмотологии</w:t>
            </w:r>
            <w:proofErr w:type="spellEnd"/>
            <w:r w:rsidRPr="000E06C7">
              <w:rPr>
                <w:sz w:val="20"/>
                <w:szCs w:val="20"/>
              </w:rPr>
              <w:t xml:space="preserve"> нестабильных полидисперсных сред. Также рассматриваются методики расчетов аппаратов с использованием различных математических моделей.</w:t>
            </w:r>
          </w:p>
          <w:p w:rsidR="004C38DF" w:rsidRPr="000E06C7" w:rsidRDefault="004C38DF" w:rsidP="004C38DF">
            <w:pPr>
              <w:ind w:firstLine="459"/>
              <w:jc w:val="both"/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 xml:space="preserve">Основными научными направлениями кафедры являются «Совершенствование технологии коксохимического производства», «Физико-химические основы переработки природных энергоносителей», «Разработка технологии очистки сточных вод и газовых выбросов промышленных предприятий». </w:t>
            </w:r>
          </w:p>
          <w:p w:rsidR="004C38DF" w:rsidRPr="000E06C7" w:rsidRDefault="004C38DF" w:rsidP="004C38DF">
            <w:pPr>
              <w:ind w:right="128" w:firstLine="459"/>
              <w:jc w:val="both"/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 xml:space="preserve">Результаты научно-исследовательской деятельности кафедры систематически публикуются в научных и научно-технических журналах, </w:t>
            </w:r>
            <w:proofErr w:type="spellStart"/>
            <w:r w:rsidRPr="000E06C7">
              <w:rPr>
                <w:sz w:val="20"/>
                <w:szCs w:val="20"/>
              </w:rPr>
              <w:t>окладываются</w:t>
            </w:r>
            <w:proofErr w:type="spellEnd"/>
            <w:r w:rsidRPr="000E06C7">
              <w:rPr>
                <w:sz w:val="20"/>
                <w:szCs w:val="20"/>
              </w:rPr>
              <w:t xml:space="preserve"> на международных и всероссийских конференциях. Соавторами статей и докладов являются студенты, участвующие в выполнении научных исследований в процессе обучения.</w:t>
            </w:r>
          </w:p>
          <w:p w:rsidR="007B104F" w:rsidRPr="000E06C7" w:rsidRDefault="004C38DF" w:rsidP="004C38DF">
            <w:pPr>
              <w:rPr>
                <w:bCs/>
                <w:sz w:val="20"/>
                <w:szCs w:val="20"/>
              </w:rPr>
            </w:pPr>
            <w:r w:rsidRPr="000E06C7">
              <w:rPr>
                <w:bCs/>
                <w:sz w:val="20"/>
                <w:szCs w:val="20"/>
              </w:rPr>
              <w:t>Учебный план и программы дисциплин обеспечивают глубокую химико-технологическую подготовку, современное теоретическое образование и прочные навыки экспериментальной работы.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/>
      </w:tblPr>
      <w:tblGrid>
        <w:gridCol w:w="441"/>
        <w:gridCol w:w="2268"/>
        <w:gridCol w:w="11907"/>
      </w:tblGrid>
      <w:tr w:rsidR="00553833" w:rsidRPr="00203325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D2120D">
            <w:pPr>
              <w:ind w:left="-65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55383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D2120D">
            <w:pPr>
              <w:ind w:left="-65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D2120D">
            <w:pPr>
              <w:ind w:left="-65"/>
              <w:jc w:val="both"/>
              <w:rPr>
                <w:bCs/>
                <w:sz w:val="20"/>
                <w:szCs w:val="20"/>
              </w:rPr>
            </w:pPr>
          </w:p>
        </w:tc>
      </w:tr>
      <w:tr w:rsidR="000E06C7" w:rsidRPr="00203325" w:rsidTr="003E68EA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E95255" w:rsidRDefault="000E06C7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0E06C7" w:rsidRDefault="000E06C7" w:rsidP="000E06C7">
            <w:pPr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>Философско-экономические основы профессиональной деятельности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0E06C7" w:rsidRDefault="000E06C7" w:rsidP="003E68E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E06C7">
              <w:rPr>
                <w:color w:val="000000"/>
                <w:sz w:val="20"/>
                <w:szCs w:val="20"/>
              </w:rPr>
              <w:t>Базовый модуль «Фундаментальные аспекты профессиональной деятельности» закладывает основы теоретического осмысления и практического решения задач</w:t>
            </w:r>
            <w:r w:rsidRPr="000E06C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E06C7">
              <w:rPr>
                <w:color w:val="000000"/>
                <w:sz w:val="20"/>
                <w:szCs w:val="20"/>
              </w:rPr>
              <w:t>в рамках профессиональной деятельности,</w:t>
            </w:r>
            <w:r w:rsidRPr="000E06C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E06C7">
              <w:rPr>
                <w:color w:val="000000"/>
                <w:sz w:val="20"/>
                <w:szCs w:val="20"/>
              </w:rPr>
              <w:t>развивает:</w:t>
            </w:r>
          </w:p>
          <w:p w:rsidR="000E06C7" w:rsidRPr="000E06C7" w:rsidRDefault="000E06C7" w:rsidP="003E68E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E06C7">
              <w:rPr>
                <w:color w:val="000000"/>
                <w:sz w:val="20"/>
                <w:szCs w:val="20"/>
              </w:rPr>
              <w:t>- способность к абстрактному мышлению, анализу, синтезу;</w:t>
            </w:r>
          </w:p>
          <w:p w:rsidR="000E06C7" w:rsidRPr="000E06C7" w:rsidRDefault="000E06C7" w:rsidP="003E68E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E06C7">
              <w:rPr>
                <w:color w:val="000000"/>
                <w:sz w:val="20"/>
                <w:szCs w:val="20"/>
              </w:rPr>
              <w:t>- необходимые умения и практические навыки применения экономических знаний для решения профессиональных задач;</w:t>
            </w:r>
          </w:p>
          <w:p w:rsidR="000E06C7" w:rsidRPr="000E06C7" w:rsidRDefault="000E06C7" w:rsidP="003E68E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06C7">
              <w:rPr>
                <w:color w:val="000000"/>
                <w:sz w:val="20"/>
                <w:szCs w:val="20"/>
              </w:rPr>
              <w:t>- способность аргументировать и отстаивать</w:t>
            </w:r>
            <w:r w:rsidRPr="000E06C7">
              <w:rPr>
                <w:rStyle w:val="apple-converted-space"/>
                <w:i/>
                <w:iCs/>
                <w:color w:val="FF0000"/>
                <w:sz w:val="20"/>
                <w:szCs w:val="20"/>
              </w:rPr>
              <w:t> </w:t>
            </w:r>
            <w:r w:rsidRPr="000E06C7">
              <w:rPr>
                <w:color w:val="000000"/>
                <w:sz w:val="20"/>
                <w:szCs w:val="20"/>
              </w:rPr>
              <w:t>свою позицию по профессиональным вопросам</w:t>
            </w:r>
            <w:r w:rsidRPr="000E06C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0E06C7">
              <w:rPr>
                <w:color w:val="000000"/>
                <w:sz w:val="20"/>
                <w:szCs w:val="20"/>
              </w:rPr>
              <w:t>в условиях спектра мнений.</w:t>
            </w:r>
          </w:p>
        </w:tc>
      </w:tr>
      <w:tr w:rsidR="000E06C7" w:rsidRPr="005620E5" w:rsidTr="003E68E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E95255" w:rsidRDefault="000E06C7" w:rsidP="00D64E1E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0E06C7" w:rsidRDefault="000E06C7" w:rsidP="000E06C7">
            <w:pPr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0E06C7" w:rsidRDefault="000E06C7" w:rsidP="003E68EA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0E06C7">
              <w:rPr>
                <w:rStyle w:val="FontStyle22"/>
                <w:sz w:val="20"/>
                <w:szCs w:val="20"/>
              </w:rPr>
              <w:t>Курс английского языка направлен на формирование компетенций, связанных с решением профессиональных задач средствами английского языка и профессиональной коммуникации на английском языке. В курсе предусматривается формирование навыков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мировоззрение, в том числе с помощью английского языка; использовать углубленные знания в области гуманитарных дисциплин в профессиональной деятельности.</w:t>
            </w:r>
          </w:p>
          <w:p w:rsidR="000E06C7" w:rsidRPr="000E06C7" w:rsidRDefault="000E06C7" w:rsidP="003E68EA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0E06C7">
              <w:rPr>
                <w:rStyle w:val="FontStyle22"/>
                <w:sz w:val="20"/>
                <w:szCs w:val="20"/>
              </w:rPr>
              <w:t>Курс рассчитан на формирование умений организовать речевой и языковой материал для эффективного решения профессиональных задач средствами английского языка, выбирать языковые средства в соответствии с конкретной целью их применения, адекватно реагировать, участвовать в дискуссии, отстаивать свою точку зрения, требовать пояснений и разъяснений, делать выводы.</w:t>
            </w:r>
          </w:p>
          <w:p w:rsidR="000E06C7" w:rsidRPr="000E06C7" w:rsidRDefault="000E06C7" w:rsidP="003E68EA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0E06C7">
              <w:rPr>
                <w:rStyle w:val="FontStyle22"/>
                <w:sz w:val="20"/>
                <w:szCs w:val="20"/>
              </w:rPr>
              <w:t>В курсе обучения студенты получают навыки ведения на иностранном языке беседу-диалог общего и профессионального характера, чтения литературы по специальности с целью поиска информации без словаря, перевода текстов по специальности со словарем.</w:t>
            </w:r>
          </w:p>
          <w:p w:rsidR="000E06C7" w:rsidRPr="000E06C7" w:rsidRDefault="000E06C7" w:rsidP="003E68EA">
            <w:pPr>
              <w:pStyle w:val="Style13"/>
              <w:widowControl/>
              <w:rPr>
                <w:rStyle w:val="FontStyle22"/>
                <w:sz w:val="20"/>
                <w:szCs w:val="20"/>
              </w:rPr>
            </w:pPr>
            <w:r w:rsidRPr="000E06C7">
              <w:rPr>
                <w:rStyle w:val="FontStyle22"/>
                <w:sz w:val="20"/>
                <w:szCs w:val="20"/>
              </w:rPr>
              <w:t>В курсе решаются задачи обучения применению английского языка язык для составления отчетов по научно-исследовательской деятельности, выступления на конференциях с докладами и презентациями, написание статей по результатам собственных научных исследований.</w:t>
            </w:r>
          </w:p>
          <w:p w:rsidR="000E06C7" w:rsidRPr="000E06C7" w:rsidRDefault="000E06C7" w:rsidP="003E68EA">
            <w:pPr>
              <w:rPr>
                <w:sz w:val="20"/>
                <w:szCs w:val="20"/>
              </w:rPr>
            </w:pPr>
            <w:r w:rsidRPr="000E06C7">
              <w:rPr>
                <w:rStyle w:val="FontStyle22"/>
                <w:sz w:val="20"/>
                <w:szCs w:val="20"/>
              </w:rPr>
              <w:t>Научная и методическая новизна курса обеспечивается привлечением современного научного знания в области преподавания иностранных языков, использованием активных методов обучения, обращением к актуальным процессам и явлениям речевой практики на английском языке.</w:t>
            </w:r>
          </w:p>
        </w:tc>
      </w:tr>
      <w:tr w:rsidR="000E06C7" w:rsidRPr="005620E5" w:rsidTr="003E68EA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E95255" w:rsidRDefault="000E06C7" w:rsidP="00530BD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0E06C7" w:rsidRDefault="000E06C7" w:rsidP="000E06C7">
            <w:pPr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>Информационное обеспечение исследований химико-технологических процессов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3E68EA" w:rsidRDefault="000E06C7" w:rsidP="003E68EA">
            <w:pPr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>Модуль посвящен изучению основных понятий теории алгоритмов, составлению, реализации и оптимизации алгоритмов применительно к расчетам химико-технологических процессов и методике оптимизации по результатам расчета принципиальных технологических схем.</w:t>
            </w:r>
          </w:p>
        </w:tc>
      </w:tr>
      <w:tr w:rsidR="00530BDC" w:rsidRPr="00203325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DC" w:rsidRPr="005620E5" w:rsidRDefault="00530BDC" w:rsidP="00530BD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DC" w:rsidRPr="000E06C7" w:rsidRDefault="00530BDC" w:rsidP="000E06C7">
            <w:pPr>
              <w:rPr>
                <w:b/>
                <w:bCs/>
                <w:sz w:val="20"/>
                <w:szCs w:val="20"/>
              </w:rPr>
            </w:pPr>
            <w:r w:rsidRPr="000E06C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DC" w:rsidRPr="000E06C7" w:rsidRDefault="00530BDC" w:rsidP="003E68EA">
            <w:pPr>
              <w:rPr>
                <w:sz w:val="20"/>
                <w:szCs w:val="20"/>
              </w:rPr>
            </w:pPr>
          </w:p>
        </w:tc>
      </w:tr>
      <w:tr w:rsidR="000E06C7" w:rsidRPr="00203325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E95255" w:rsidRDefault="000E06C7" w:rsidP="00530BD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7" w:rsidRPr="000E06C7" w:rsidRDefault="000E06C7" w:rsidP="000E06C7">
            <w:pPr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>Тенденции современной органической химии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0E06C7" w:rsidRDefault="003E68EA" w:rsidP="003E68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3665">
              <w:rPr>
                <w:sz w:val="20"/>
                <w:szCs w:val="20"/>
              </w:rPr>
              <w:t xml:space="preserve">Модуль содержит дисциплины, позволяющие изучить направления развития органической химии, основные понятия о реакционной способности органических соединений, понятие и принципы  зеленой химии, экологические проблемы, вызванные необдуманной деятельностью человека и борьба с последствиями, основы </w:t>
            </w:r>
            <w:proofErr w:type="spellStart"/>
            <w:r w:rsidRPr="00363665">
              <w:rPr>
                <w:sz w:val="20"/>
                <w:szCs w:val="20"/>
              </w:rPr>
              <w:t>супрамолекулярной</w:t>
            </w:r>
            <w:proofErr w:type="spellEnd"/>
            <w:r w:rsidRPr="00363665">
              <w:rPr>
                <w:sz w:val="20"/>
                <w:szCs w:val="20"/>
              </w:rPr>
              <w:t xml:space="preserve"> химии, методы физической органической химии, молекулярные перегруппировки.</w:t>
            </w:r>
          </w:p>
        </w:tc>
      </w:tr>
      <w:tr w:rsidR="004C38DF" w:rsidRPr="00203325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DF" w:rsidRPr="00E95255" w:rsidRDefault="004C38DF" w:rsidP="00530BD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F" w:rsidRPr="000E06C7" w:rsidRDefault="004C38DF" w:rsidP="000E06C7">
            <w:pPr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>Термические и каталитические процессы в химической технологии и исследованиях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DF" w:rsidRPr="000E06C7" w:rsidRDefault="004C38DF" w:rsidP="003E68EA">
            <w:pPr>
              <w:rPr>
                <w:sz w:val="20"/>
                <w:szCs w:val="20"/>
              </w:rPr>
            </w:pPr>
            <w:r w:rsidRPr="000E06C7">
              <w:rPr>
                <w:color w:val="000000"/>
                <w:sz w:val="20"/>
                <w:szCs w:val="20"/>
                <w:shd w:val="clear" w:color="auto" w:fill="FFFFFF"/>
              </w:rPr>
              <w:t>Модул</w:t>
            </w:r>
            <w:r w:rsidR="000A766A" w:rsidRPr="000E06C7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0E06C7">
              <w:rPr>
                <w:color w:val="000000"/>
                <w:sz w:val="20"/>
                <w:szCs w:val="20"/>
                <w:shd w:val="clear" w:color="auto" w:fill="FFFFFF"/>
              </w:rPr>
              <w:t xml:space="preserve"> включает две дисциплины: “</w:t>
            </w:r>
            <w:r w:rsidRPr="000E06C7">
              <w:rPr>
                <w:sz w:val="20"/>
                <w:szCs w:val="20"/>
              </w:rPr>
              <w:t>Каталитические процессы</w:t>
            </w:r>
            <w:r w:rsidRPr="000E06C7">
              <w:rPr>
                <w:color w:val="000000"/>
                <w:sz w:val="20"/>
                <w:szCs w:val="20"/>
                <w:shd w:val="clear" w:color="auto" w:fill="FFFFFF"/>
              </w:rPr>
              <w:t>” и “</w:t>
            </w:r>
            <w:r w:rsidRPr="000E06C7">
              <w:rPr>
                <w:sz w:val="20"/>
                <w:szCs w:val="20"/>
              </w:rPr>
              <w:t>Термический анализ  соединений и материалов</w:t>
            </w:r>
            <w:r w:rsidRPr="000E06C7">
              <w:rPr>
                <w:color w:val="000000"/>
                <w:sz w:val="20"/>
                <w:szCs w:val="20"/>
                <w:shd w:val="clear" w:color="auto" w:fill="FFFFFF"/>
              </w:rPr>
              <w:t>”.</w:t>
            </w:r>
            <w:r w:rsidRPr="000E06C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1715AF" w:rsidRPr="000E06C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Модуль посвящён т</w:t>
            </w:r>
            <w:r w:rsidRPr="000E06C7">
              <w:rPr>
                <w:sz w:val="20"/>
                <w:szCs w:val="20"/>
              </w:rPr>
              <w:t>ермически</w:t>
            </w:r>
            <w:r w:rsidR="001715AF" w:rsidRPr="000E06C7">
              <w:rPr>
                <w:sz w:val="20"/>
                <w:szCs w:val="20"/>
              </w:rPr>
              <w:t>м</w:t>
            </w:r>
            <w:r w:rsidRPr="000E06C7">
              <w:rPr>
                <w:sz w:val="20"/>
                <w:szCs w:val="20"/>
              </w:rPr>
              <w:t>, каталитически</w:t>
            </w:r>
            <w:r w:rsidR="001715AF" w:rsidRPr="000E06C7">
              <w:rPr>
                <w:sz w:val="20"/>
                <w:szCs w:val="20"/>
              </w:rPr>
              <w:t>м</w:t>
            </w:r>
            <w:r w:rsidRPr="000E06C7">
              <w:rPr>
                <w:sz w:val="20"/>
                <w:szCs w:val="20"/>
              </w:rPr>
              <w:t xml:space="preserve"> и плазмохимически</w:t>
            </w:r>
            <w:r w:rsidR="001715AF" w:rsidRPr="000E06C7">
              <w:rPr>
                <w:sz w:val="20"/>
                <w:szCs w:val="20"/>
              </w:rPr>
              <w:t>м</w:t>
            </w:r>
            <w:r w:rsidRPr="000E06C7">
              <w:rPr>
                <w:sz w:val="20"/>
                <w:szCs w:val="20"/>
              </w:rPr>
              <w:t xml:space="preserve"> превращения</w:t>
            </w:r>
            <w:r w:rsidR="001715AF" w:rsidRPr="000E06C7">
              <w:rPr>
                <w:sz w:val="20"/>
                <w:szCs w:val="20"/>
              </w:rPr>
              <w:t>м углеводородов нефти,</w:t>
            </w:r>
            <w:r w:rsidRPr="000E06C7">
              <w:rPr>
                <w:sz w:val="20"/>
                <w:szCs w:val="20"/>
              </w:rPr>
              <w:t xml:space="preserve"> </w:t>
            </w:r>
            <w:r w:rsidR="001715AF" w:rsidRPr="000E06C7">
              <w:rPr>
                <w:sz w:val="20"/>
                <w:szCs w:val="20"/>
              </w:rPr>
              <w:t>р</w:t>
            </w:r>
            <w:r w:rsidRPr="000E06C7">
              <w:rPr>
                <w:sz w:val="20"/>
                <w:szCs w:val="20"/>
              </w:rPr>
              <w:t>азработк</w:t>
            </w:r>
            <w:r w:rsidR="001715AF" w:rsidRPr="000E06C7">
              <w:rPr>
                <w:sz w:val="20"/>
                <w:szCs w:val="20"/>
              </w:rPr>
              <w:t>е</w:t>
            </w:r>
            <w:r w:rsidRPr="000E06C7">
              <w:rPr>
                <w:sz w:val="20"/>
                <w:szCs w:val="20"/>
              </w:rPr>
              <w:t xml:space="preserve"> научных основ процессов синтеза, изучени</w:t>
            </w:r>
            <w:r w:rsidR="001715AF" w:rsidRPr="000E06C7">
              <w:rPr>
                <w:sz w:val="20"/>
                <w:szCs w:val="20"/>
              </w:rPr>
              <w:t>ю</w:t>
            </w:r>
            <w:r w:rsidRPr="000E06C7">
              <w:rPr>
                <w:sz w:val="20"/>
                <w:szCs w:val="20"/>
              </w:rPr>
              <w:t xml:space="preserve"> механизмов реакций, роли гетероатомных компонентов нефти в превращениях углеводородов, подбор</w:t>
            </w:r>
            <w:r w:rsidR="001715AF" w:rsidRPr="000E06C7">
              <w:rPr>
                <w:sz w:val="20"/>
                <w:szCs w:val="20"/>
              </w:rPr>
              <w:t>у</w:t>
            </w:r>
            <w:r w:rsidRPr="000E06C7">
              <w:rPr>
                <w:sz w:val="20"/>
                <w:szCs w:val="20"/>
              </w:rPr>
              <w:t xml:space="preserve"> катализаторов</w:t>
            </w:r>
            <w:r w:rsidR="001715AF" w:rsidRPr="000E06C7">
              <w:rPr>
                <w:sz w:val="20"/>
                <w:szCs w:val="20"/>
              </w:rPr>
              <w:t>.</w:t>
            </w:r>
          </w:p>
        </w:tc>
      </w:tr>
      <w:tr w:rsidR="004119DD" w:rsidRPr="00203325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D" w:rsidRPr="00E95255" w:rsidRDefault="004119DD" w:rsidP="00530BD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DD" w:rsidRPr="000E06C7" w:rsidRDefault="004119DD" w:rsidP="000E06C7">
            <w:pPr>
              <w:rPr>
                <w:b/>
                <w:bCs/>
                <w:sz w:val="20"/>
                <w:szCs w:val="20"/>
              </w:rPr>
            </w:pPr>
            <w:r w:rsidRPr="000E06C7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DD" w:rsidRPr="000E06C7" w:rsidRDefault="004119DD" w:rsidP="003E68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41BA7" w:rsidRPr="000E06C7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A7" w:rsidRPr="000E06C7" w:rsidRDefault="00D41BA7" w:rsidP="00530BDC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A7" w:rsidRPr="000E06C7" w:rsidRDefault="00D41BA7" w:rsidP="000E06C7">
            <w:pPr>
              <w:rPr>
                <w:b/>
                <w:bCs/>
                <w:sz w:val="20"/>
                <w:szCs w:val="20"/>
              </w:rPr>
            </w:pPr>
            <w:r w:rsidRPr="000E06C7"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A7" w:rsidRPr="000E06C7" w:rsidRDefault="00D41BA7" w:rsidP="003E68EA">
            <w:pPr>
              <w:rPr>
                <w:b/>
                <w:sz w:val="20"/>
                <w:szCs w:val="20"/>
              </w:rPr>
            </w:pPr>
            <w:r w:rsidRPr="000E06C7">
              <w:rPr>
                <w:b/>
                <w:sz w:val="20"/>
                <w:szCs w:val="20"/>
              </w:rPr>
              <w:t>Химическая технология основного органического и нефтехимического синтеза</w:t>
            </w:r>
          </w:p>
        </w:tc>
      </w:tr>
      <w:tr w:rsidR="00D41BA7" w:rsidRPr="00203325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A7" w:rsidRPr="00E95255" w:rsidRDefault="00D41BA7" w:rsidP="00530BD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A7" w:rsidRPr="000E06C7" w:rsidRDefault="00D41BA7" w:rsidP="000E06C7">
            <w:pPr>
              <w:rPr>
                <w:bCs/>
                <w:sz w:val="20"/>
                <w:szCs w:val="20"/>
              </w:rPr>
            </w:pPr>
            <w:r w:rsidRPr="000E06C7">
              <w:rPr>
                <w:bCs/>
                <w:sz w:val="20"/>
                <w:szCs w:val="20"/>
              </w:rPr>
              <w:t>Нефтехимия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A7" w:rsidRPr="000E06C7" w:rsidRDefault="00D41BA7" w:rsidP="003E68E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06C7">
              <w:rPr>
                <w:color w:val="000000"/>
                <w:sz w:val="20"/>
                <w:szCs w:val="20"/>
                <w:shd w:val="clear" w:color="auto" w:fill="FFFFFF"/>
              </w:rPr>
              <w:t>Модуль включает три дисциплины: «</w:t>
            </w:r>
            <w:r w:rsidRPr="000E06C7">
              <w:rPr>
                <w:sz w:val="20"/>
                <w:szCs w:val="20"/>
              </w:rPr>
              <w:t xml:space="preserve">Аналитические методы в </w:t>
            </w:r>
            <w:proofErr w:type="spellStart"/>
            <w:r w:rsidRPr="000E06C7">
              <w:rPr>
                <w:sz w:val="20"/>
                <w:szCs w:val="20"/>
              </w:rPr>
              <w:t>нефтехими</w:t>
            </w:r>
            <w:proofErr w:type="spellEnd"/>
            <w:r w:rsidRPr="000E06C7">
              <w:rPr>
                <w:sz w:val="20"/>
                <w:szCs w:val="20"/>
              </w:rPr>
              <w:t>»</w:t>
            </w:r>
            <w:r w:rsidRPr="000E06C7">
              <w:rPr>
                <w:color w:val="000000"/>
                <w:sz w:val="20"/>
                <w:szCs w:val="20"/>
                <w:shd w:val="clear" w:color="auto" w:fill="FFFFFF"/>
              </w:rPr>
              <w:t>, «</w:t>
            </w:r>
            <w:r w:rsidRPr="000E06C7">
              <w:rPr>
                <w:sz w:val="20"/>
                <w:szCs w:val="20"/>
              </w:rPr>
              <w:t>Методы определения структуры органических соединений</w:t>
            </w:r>
            <w:r w:rsidRPr="000E06C7">
              <w:rPr>
                <w:color w:val="000000"/>
                <w:sz w:val="20"/>
                <w:szCs w:val="20"/>
                <w:shd w:val="clear" w:color="auto" w:fill="FFFFFF"/>
              </w:rPr>
              <w:t>» и «</w:t>
            </w:r>
            <w:r w:rsidRPr="000E06C7">
              <w:rPr>
                <w:sz w:val="20"/>
                <w:szCs w:val="20"/>
              </w:rPr>
              <w:t>Химия и технология нефти и газа».</w:t>
            </w:r>
            <w:r w:rsidR="006919B6" w:rsidRPr="000E06C7">
              <w:rPr>
                <w:sz w:val="20"/>
                <w:szCs w:val="20"/>
              </w:rPr>
              <w:t xml:space="preserve"> Дисциплины модуля посвящены изучению химического состава нефти: анализ, исследование свойств и закономерностей распределения, выделения и использования классов и групп соединений (парафины, нафтены, ароматические углеводороды, серо-, азот- и кислородсодержащие соединения, смолистые, асфальтеновые и металлсодержащие компоненты).</w:t>
            </w:r>
          </w:p>
        </w:tc>
      </w:tr>
      <w:tr w:rsidR="00D41BA7" w:rsidRPr="00203325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A7" w:rsidRPr="00E95255" w:rsidRDefault="00D41BA7" w:rsidP="00747E08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A7" w:rsidRPr="000E06C7" w:rsidRDefault="00131F64" w:rsidP="000E06C7">
            <w:pPr>
              <w:rPr>
                <w:bCs/>
                <w:sz w:val="20"/>
                <w:szCs w:val="20"/>
              </w:rPr>
            </w:pPr>
            <w:r w:rsidRPr="000E06C7">
              <w:rPr>
                <w:bCs/>
                <w:sz w:val="20"/>
                <w:szCs w:val="20"/>
              </w:rPr>
              <w:t>Химия и технология основного органического синтеза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BA7" w:rsidRPr="000E06C7" w:rsidRDefault="00D41BA7" w:rsidP="003E68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>Модуль включает в себя дисциплины «</w:t>
            </w:r>
            <w:r w:rsidR="00131F64" w:rsidRPr="000E06C7">
              <w:rPr>
                <w:sz w:val="20"/>
                <w:szCs w:val="20"/>
              </w:rPr>
              <w:t xml:space="preserve">Проектирование и оборудование предприятий основного органического и нефтехимического синтеза» </w:t>
            </w:r>
            <w:r w:rsidRPr="000E06C7">
              <w:rPr>
                <w:sz w:val="20"/>
                <w:szCs w:val="20"/>
              </w:rPr>
              <w:t>и «</w:t>
            </w:r>
            <w:r w:rsidR="00131F64" w:rsidRPr="000E06C7">
              <w:rPr>
                <w:sz w:val="20"/>
                <w:szCs w:val="20"/>
              </w:rPr>
              <w:t>Химия и технология пестицидов и биологически активных веществ</w:t>
            </w:r>
            <w:r w:rsidRPr="000E06C7">
              <w:rPr>
                <w:sz w:val="20"/>
                <w:szCs w:val="20"/>
              </w:rPr>
              <w:t xml:space="preserve">» и знакомит студентов с современными инновационными технологиями в области </w:t>
            </w:r>
            <w:r w:rsidR="00131F64" w:rsidRPr="000E06C7">
              <w:rPr>
                <w:sz w:val="20"/>
                <w:szCs w:val="20"/>
              </w:rPr>
              <w:t>технологии основного органического синтеза</w:t>
            </w:r>
            <w:r w:rsidRPr="000E06C7">
              <w:rPr>
                <w:sz w:val="20"/>
                <w:szCs w:val="20"/>
              </w:rPr>
              <w:t>.</w:t>
            </w:r>
            <w:r w:rsidR="007B37A4" w:rsidRPr="000E06C7">
              <w:rPr>
                <w:sz w:val="20"/>
                <w:szCs w:val="20"/>
              </w:rPr>
              <w:t xml:space="preserve"> </w:t>
            </w:r>
            <w:r w:rsidR="007B37A4" w:rsidRPr="000E06C7">
              <w:rPr>
                <w:color w:val="000000"/>
                <w:sz w:val="20"/>
                <w:szCs w:val="20"/>
              </w:rPr>
              <w:t>В рамках модуля планируется</w:t>
            </w:r>
            <w:r w:rsidR="007B37A4" w:rsidRPr="000E06C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7B37A4" w:rsidRPr="000E06C7">
              <w:rPr>
                <w:color w:val="000000"/>
                <w:sz w:val="20"/>
                <w:szCs w:val="20"/>
              </w:rPr>
              <w:t>изучение химических, физико-химических и физических закономерностей, необходимых при проектировании новых и совершенствовании существующих производств.</w:t>
            </w:r>
          </w:p>
        </w:tc>
      </w:tr>
      <w:tr w:rsidR="006F3FFF" w:rsidRPr="000E06C7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F" w:rsidRPr="000E06C7" w:rsidRDefault="006F3FFF" w:rsidP="006217E6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FF" w:rsidRPr="000E06C7" w:rsidRDefault="006F3FFF" w:rsidP="000E06C7">
            <w:pPr>
              <w:rPr>
                <w:b/>
                <w:bCs/>
                <w:sz w:val="20"/>
                <w:szCs w:val="20"/>
              </w:rPr>
            </w:pPr>
            <w:r w:rsidRPr="000E06C7">
              <w:rPr>
                <w:b/>
                <w:bCs/>
                <w:sz w:val="20"/>
                <w:szCs w:val="20"/>
              </w:rPr>
              <w:t>ТОП 2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F" w:rsidRPr="000E06C7" w:rsidRDefault="006F3FFF" w:rsidP="003E68EA">
            <w:pPr>
              <w:rPr>
                <w:b/>
                <w:sz w:val="20"/>
                <w:szCs w:val="20"/>
              </w:rPr>
            </w:pPr>
            <w:r w:rsidRPr="000E06C7">
              <w:rPr>
                <w:b/>
                <w:sz w:val="20"/>
                <w:szCs w:val="20"/>
              </w:rPr>
              <w:t>Химическая технология и переработка полимеров</w:t>
            </w:r>
          </w:p>
        </w:tc>
      </w:tr>
      <w:tr w:rsidR="006F3FFF" w:rsidRPr="008814DE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F" w:rsidRPr="00E95255" w:rsidRDefault="006F3FFF" w:rsidP="00205627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FF" w:rsidRPr="000E06C7" w:rsidRDefault="007B37A4" w:rsidP="000E06C7">
            <w:pPr>
              <w:rPr>
                <w:bCs/>
                <w:sz w:val="20"/>
                <w:szCs w:val="20"/>
              </w:rPr>
            </w:pPr>
            <w:r w:rsidRPr="000E06C7">
              <w:rPr>
                <w:bCs/>
                <w:sz w:val="20"/>
                <w:szCs w:val="20"/>
              </w:rPr>
              <w:t>Физика и химия высокомолекулярных соединений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F" w:rsidRPr="000E06C7" w:rsidRDefault="006F3FFF" w:rsidP="003E68E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E06C7">
              <w:rPr>
                <w:color w:val="000000"/>
                <w:sz w:val="20"/>
                <w:szCs w:val="20"/>
              </w:rPr>
              <w:t xml:space="preserve">Модуль включает </w:t>
            </w:r>
            <w:r w:rsidR="007B37A4" w:rsidRPr="000E06C7">
              <w:rPr>
                <w:color w:val="000000"/>
                <w:sz w:val="20"/>
                <w:szCs w:val="20"/>
              </w:rPr>
              <w:t>три</w:t>
            </w:r>
            <w:r w:rsidRPr="000E06C7">
              <w:rPr>
                <w:color w:val="000000"/>
                <w:sz w:val="20"/>
                <w:szCs w:val="20"/>
              </w:rPr>
              <w:t xml:space="preserve"> дисциплины: </w:t>
            </w:r>
            <w:r w:rsidR="007B37A4" w:rsidRPr="000E06C7">
              <w:rPr>
                <w:color w:val="000000"/>
                <w:sz w:val="20"/>
                <w:szCs w:val="20"/>
              </w:rPr>
              <w:t>«</w:t>
            </w:r>
            <w:r w:rsidR="007B37A4" w:rsidRPr="000E06C7">
              <w:rPr>
                <w:sz w:val="20"/>
                <w:szCs w:val="20"/>
              </w:rPr>
              <w:t xml:space="preserve">Физика и химия полимеров», «Химия лакокрасочных материалов» и «Химия эластомеров». Дисциплины модуля посвящены </w:t>
            </w:r>
            <w:r w:rsidR="003C6E74" w:rsidRPr="000E06C7">
              <w:rPr>
                <w:sz w:val="20"/>
                <w:szCs w:val="20"/>
              </w:rPr>
              <w:t>изучению физико-химических свойств, химии и технологии производства полимеров и эластомеров, технологии получения синтетических полимеров и эластомеров.</w:t>
            </w:r>
          </w:p>
        </w:tc>
      </w:tr>
      <w:tr w:rsidR="006F3FFF" w:rsidRPr="00203325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F" w:rsidRPr="00E95255" w:rsidRDefault="006F3FFF" w:rsidP="00D1348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FFF" w:rsidRPr="000E06C7" w:rsidRDefault="007B37A4" w:rsidP="000E06C7">
            <w:pPr>
              <w:rPr>
                <w:bCs/>
                <w:sz w:val="20"/>
                <w:szCs w:val="20"/>
              </w:rPr>
            </w:pPr>
            <w:r w:rsidRPr="000E06C7">
              <w:rPr>
                <w:bCs/>
                <w:sz w:val="20"/>
                <w:szCs w:val="20"/>
              </w:rPr>
              <w:t>Химия и технология полимерных материалов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F" w:rsidRPr="000E06C7" w:rsidRDefault="003C6E74" w:rsidP="003E68EA">
            <w:pPr>
              <w:shd w:val="clear" w:color="auto" w:fill="FFFFFF"/>
              <w:autoSpaceDN w:val="0"/>
              <w:adjustRightInd w:val="0"/>
              <w:rPr>
                <w:sz w:val="20"/>
                <w:szCs w:val="20"/>
              </w:rPr>
            </w:pPr>
            <w:r w:rsidRPr="000E06C7">
              <w:rPr>
                <w:color w:val="000000"/>
                <w:sz w:val="20"/>
                <w:szCs w:val="20"/>
              </w:rPr>
              <w:t>Модуль включает две дисциплины: «</w:t>
            </w:r>
            <w:r w:rsidRPr="000E06C7">
              <w:rPr>
                <w:sz w:val="20"/>
                <w:szCs w:val="20"/>
              </w:rPr>
              <w:t>Проектирование производств и оборудование заводов  пластмасс» и «Химическая технология полимерных материалов». Модуль знакомит студентов со способами ц</w:t>
            </w:r>
            <w:r w:rsidR="007B37A4" w:rsidRPr="000E06C7">
              <w:rPr>
                <w:sz w:val="20"/>
                <w:szCs w:val="20"/>
              </w:rPr>
              <w:t>еленаправленн</w:t>
            </w:r>
            <w:r w:rsidRPr="000E06C7">
              <w:rPr>
                <w:sz w:val="20"/>
                <w:szCs w:val="20"/>
              </w:rPr>
              <w:t>ой</w:t>
            </w:r>
            <w:r w:rsidR="007B37A4" w:rsidRPr="000E06C7">
              <w:rPr>
                <w:sz w:val="20"/>
                <w:szCs w:val="20"/>
              </w:rPr>
              <w:t xml:space="preserve"> разработк</w:t>
            </w:r>
            <w:r w:rsidRPr="000E06C7">
              <w:rPr>
                <w:sz w:val="20"/>
                <w:szCs w:val="20"/>
              </w:rPr>
              <w:t>и</w:t>
            </w:r>
            <w:r w:rsidR="007B37A4" w:rsidRPr="000E06C7">
              <w:rPr>
                <w:sz w:val="20"/>
                <w:szCs w:val="20"/>
              </w:rPr>
              <w:t xml:space="preserve"> полимерных материалов с новыми функциями и интеллектуальных структур с их применением, обладающих характеристиками, определяющими области их использования в заинтересо</w:t>
            </w:r>
            <w:r w:rsidRPr="000E06C7">
              <w:rPr>
                <w:sz w:val="20"/>
                <w:szCs w:val="20"/>
              </w:rPr>
              <w:t>ванных отраслях науки и техники, а также с</w:t>
            </w:r>
            <w:r w:rsidR="007B37A4" w:rsidRPr="000E06C7">
              <w:rPr>
                <w:sz w:val="20"/>
                <w:szCs w:val="20"/>
              </w:rPr>
              <w:t xml:space="preserve"> </w:t>
            </w:r>
            <w:r w:rsidRPr="000E06C7">
              <w:rPr>
                <w:sz w:val="20"/>
                <w:szCs w:val="20"/>
              </w:rPr>
              <w:t>р</w:t>
            </w:r>
            <w:r w:rsidR="007B37A4" w:rsidRPr="000E06C7">
              <w:rPr>
                <w:sz w:val="20"/>
                <w:szCs w:val="20"/>
              </w:rPr>
              <w:t>ешение</w:t>
            </w:r>
            <w:r w:rsidRPr="000E06C7">
              <w:rPr>
                <w:sz w:val="20"/>
                <w:szCs w:val="20"/>
              </w:rPr>
              <w:t>м</w:t>
            </w:r>
            <w:r w:rsidR="007B37A4" w:rsidRPr="000E06C7">
              <w:rPr>
                <w:sz w:val="20"/>
                <w:szCs w:val="20"/>
              </w:rPr>
              <w:t xml:space="preserve"> технологических и экологических задач, связанных с первичной и вторичной переработкой полимерных материалов.</w:t>
            </w:r>
            <w:r w:rsidR="000B468A" w:rsidRPr="000E06C7">
              <w:rPr>
                <w:sz w:val="20"/>
                <w:szCs w:val="20"/>
              </w:rPr>
              <w:t xml:space="preserve"> Дисциплина </w:t>
            </w:r>
            <w:r w:rsidR="000B468A" w:rsidRPr="000E06C7">
              <w:rPr>
                <w:color w:val="000000"/>
                <w:sz w:val="20"/>
                <w:szCs w:val="20"/>
              </w:rPr>
              <w:t>«</w:t>
            </w:r>
            <w:r w:rsidR="000B468A" w:rsidRPr="000E06C7">
              <w:rPr>
                <w:sz w:val="20"/>
                <w:szCs w:val="20"/>
              </w:rPr>
              <w:t>Проектирование производств и оборудование заводов  пластмасс» посвящена детальному ознакомлению студентов с оборудованием заводов по переработке пластмасс, с устройством и принципами работы типовых химических аппаратов и установок. Существенное внимание уделяется грамотному выбору оборудования и составлению оптимальных технологических схем производства.</w:t>
            </w:r>
          </w:p>
        </w:tc>
      </w:tr>
      <w:tr w:rsidR="00422BF2" w:rsidRPr="000E06C7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F2" w:rsidRPr="000E06C7" w:rsidRDefault="00422BF2" w:rsidP="00422BF2">
            <w:pPr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F2" w:rsidRPr="000E06C7" w:rsidRDefault="00422BF2" w:rsidP="000E06C7">
            <w:pPr>
              <w:rPr>
                <w:b/>
                <w:sz w:val="20"/>
                <w:szCs w:val="20"/>
              </w:rPr>
            </w:pPr>
            <w:r w:rsidRPr="000E06C7">
              <w:rPr>
                <w:b/>
                <w:bCs/>
                <w:sz w:val="20"/>
                <w:szCs w:val="20"/>
              </w:rPr>
              <w:t>ТОП 3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F2" w:rsidRPr="000E06C7" w:rsidRDefault="00422BF2" w:rsidP="003E68EA">
            <w:pPr>
              <w:rPr>
                <w:b/>
                <w:sz w:val="20"/>
                <w:szCs w:val="20"/>
              </w:rPr>
            </w:pPr>
            <w:r w:rsidRPr="000E06C7">
              <w:rPr>
                <w:b/>
                <w:sz w:val="20"/>
                <w:szCs w:val="20"/>
              </w:rPr>
              <w:t>Химическая технология природных энергоносителей</w:t>
            </w:r>
          </w:p>
        </w:tc>
      </w:tr>
      <w:tr w:rsidR="003E68EA" w:rsidRPr="00203325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E95255" w:rsidRDefault="003E68EA" w:rsidP="00D1348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0E06C7" w:rsidRDefault="003E68EA" w:rsidP="000E06C7">
            <w:pPr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>Глубокая переработка природных энергоносителей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rPr>
                <w:sz w:val="20"/>
                <w:szCs w:val="20"/>
              </w:rPr>
            </w:pPr>
            <w:r w:rsidRPr="003E68EA">
              <w:rPr>
                <w:sz w:val="20"/>
                <w:szCs w:val="20"/>
              </w:rPr>
              <w:t>Модуль включает дисциплины «Технология глубокой переработки нефтегазового сырья», «Синтетические и искусственные жидкие и газообразные топлива из угля», «Технология получения углеродных композиционных и конструкционных материалов».</w:t>
            </w:r>
          </w:p>
          <w:p w:rsidR="003E68EA" w:rsidRPr="003E68EA" w:rsidRDefault="003E68EA" w:rsidP="003E68EA">
            <w:pPr>
              <w:rPr>
                <w:sz w:val="20"/>
                <w:szCs w:val="20"/>
              </w:rPr>
            </w:pPr>
            <w:r w:rsidRPr="003E68EA">
              <w:rPr>
                <w:sz w:val="20"/>
                <w:szCs w:val="20"/>
              </w:rPr>
              <w:t>К глубокой переработке угля относятся процессы газификации, ожижения и термического растворения. При газификации можно получить горючие газы практически из любого вида органического сырья: от древесной щепы до каменных углей и антрацита. Получаемый при газификации синтез-газ является сырьем для синтеза самых разнообразных органических соединений. Газификация угля получает широкое распространение при производстве тепловой и электрической энергии. При ожижении и термическом растворении получают моторные топлива и органические соединения.</w:t>
            </w:r>
          </w:p>
          <w:p w:rsidR="003E68EA" w:rsidRPr="003E68EA" w:rsidRDefault="003E68EA" w:rsidP="003E68EA">
            <w:pPr>
              <w:rPr>
                <w:sz w:val="20"/>
                <w:szCs w:val="20"/>
              </w:rPr>
            </w:pPr>
            <w:r w:rsidRPr="003E68EA">
              <w:rPr>
                <w:sz w:val="20"/>
                <w:szCs w:val="20"/>
              </w:rPr>
              <w:t>В нефтеперерабатывающей промышленности глубина переработки нефти является одним из основных показателей эффективности её использования. Повышение эффективности переработки добываемой нефти является актуальнейшей задачей во всем мире, особенно в нашей стране.</w:t>
            </w:r>
          </w:p>
          <w:p w:rsidR="003E68EA" w:rsidRPr="003E68EA" w:rsidRDefault="003E68EA" w:rsidP="003E68EA">
            <w:pPr>
              <w:rPr>
                <w:sz w:val="20"/>
                <w:szCs w:val="20"/>
              </w:rPr>
            </w:pPr>
            <w:proofErr w:type="gramStart"/>
            <w:r w:rsidRPr="003E68EA">
              <w:rPr>
                <w:sz w:val="20"/>
                <w:szCs w:val="20"/>
              </w:rPr>
              <w:t>Получаемые при глубокой переработке угля углеродные композиционные и конструкционные материалы обладают рядом уникальных свойств, делающими их незаменимыми в космической, авиационной, атомная и ряде других отраслях промышленности.</w:t>
            </w:r>
            <w:proofErr w:type="gramEnd"/>
          </w:p>
        </w:tc>
      </w:tr>
      <w:tr w:rsidR="003E68EA" w:rsidRPr="00203325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E95255" w:rsidRDefault="003E68EA" w:rsidP="00D1348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EA" w:rsidRPr="000E06C7" w:rsidRDefault="003E68EA" w:rsidP="000E06C7">
            <w:pPr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>Экологическая и промышленная безопасность предприятий переработки природных энергоносителей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Pr="003E68EA" w:rsidRDefault="003E68EA" w:rsidP="003E68EA">
            <w:pPr>
              <w:ind w:left="-65" w:right="-104"/>
              <w:rPr>
                <w:sz w:val="20"/>
                <w:szCs w:val="20"/>
              </w:rPr>
            </w:pPr>
            <w:r w:rsidRPr="003E68EA">
              <w:rPr>
                <w:sz w:val="20"/>
                <w:szCs w:val="20"/>
              </w:rPr>
              <w:t xml:space="preserve">Модуль включает дисциплины: «Промышленная безопасность производств переработки горючих ископаемых», «Экологические проблемы предприятий переработки природных энергоносителей». </w:t>
            </w:r>
            <w:r w:rsidRPr="003E68EA">
              <w:rPr>
                <w:color w:val="000000"/>
                <w:sz w:val="20"/>
                <w:szCs w:val="20"/>
                <w:shd w:val="clear" w:color="auto" w:fill="FFFFFF"/>
              </w:rPr>
              <w:t>Актуальность курсов, преподаваемых в рамках модуля, определяется</w:t>
            </w:r>
            <w:r w:rsidRPr="003E68E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E68EA">
              <w:rPr>
                <w:color w:val="000000"/>
                <w:sz w:val="20"/>
                <w:szCs w:val="20"/>
                <w:shd w:val="clear" w:color="auto" w:fill="FFFFFF"/>
              </w:rPr>
              <w:t>возрастающим и опасным влиянием техногенных процессов на окружающую</w:t>
            </w:r>
            <w:r w:rsidRPr="003E68E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E68EA">
              <w:rPr>
                <w:color w:val="000000"/>
                <w:sz w:val="20"/>
                <w:szCs w:val="20"/>
                <w:shd w:val="clear" w:color="auto" w:fill="FFFFFF"/>
              </w:rPr>
              <w:t>среду. Это обстоятельство требует ознакомления студентов с основными</w:t>
            </w:r>
            <w:r w:rsidRPr="003E68E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E68EA">
              <w:rPr>
                <w:color w:val="000000"/>
                <w:sz w:val="20"/>
                <w:szCs w:val="20"/>
                <w:shd w:val="clear" w:color="auto" w:fill="FFFFFF"/>
              </w:rPr>
              <w:t>техногенными явлениями, их физико-химической сущностью, возможностью</w:t>
            </w:r>
            <w:r w:rsidRPr="003E68E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E68EA">
              <w:rPr>
                <w:color w:val="000000"/>
                <w:sz w:val="20"/>
                <w:szCs w:val="20"/>
                <w:shd w:val="clear" w:color="auto" w:fill="FFFFFF"/>
              </w:rPr>
              <w:t>прогноза при катастрофическом развитии и путями снижения</w:t>
            </w:r>
            <w:r w:rsidRPr="003E68EA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E68EA">
              <w:rPr>
                <w:color w:val="000000"/>
                <w:sz w:val="20"/>
                <w:szCs w:val="20"/>
                <w:shd w:val="clear" w:color="auto" w:fill="FFFFFF"/>
              </w:rPr>
              <w:t xml:space="preserve">экологического риска. </w:t>
            </w:r>
            <w:r w:rsidRPr="003E68EA">
              <w:rPr>
                <w:sz w:val="20"/>
                <w:szCs w:val="20"/>
              </w:rPr>
              <w:t xml:space="preserve">Изучение дисциплин модуля позволит </w:t>
            </w:r>
            <w:proofErr w:type="gramStart"/>
            <w:r w:rsidRPr="003E68EA">
              <w:rPr>
                <w:sz w:val="20"/>
                <w:szCs w:val="20"/>
              </w:rPr>
              <w:t>обучающимся</w:t>
            </w:r>
            <w:proofErr w:type="gramEnd"/>
            <w:r w:rsidRPr="003E68EA">
              <w:rPr>
                <w:sz w:val="20"/>
                <w:szCs w:val="20"/>
              </w:rPr>
              <w:t xml:space="preserve"> применять требования экологической и промышленной безопасности в профессиональной деятельности.</w:t>
            </w:r>
          </w:p>
        </w:tc>
      </w:tr>
      <w:tr w:rsidR="000E06C7" w:rsidRPr="00203325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E95255" w:rsidRDefault="000E06C7" w:rsidP="00D1348C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7" w:rsidRPr="000E06C7" w:rsidRDefault="000E06C7" w:rsidP="000E06C7">
            <w:pPr>
              <w:rPr>
                <w:bCs/>
                <w:sz w:val="20"/>
                <w:szCs w:val="20"/>
              </w:rPr>
            </w:pPr>
            <w:r w:rsidRPr="000E06C7">
              <w:rPr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0E06C7" w:rsidRDefault="000E06C7" w:rsidP="003E68EA">
            <w:pPr>
              <w:pStyle w:val="a8"/>
              <w:rPr>
                <w:rFonts w:ascii="Times New Roman" w:hAnsi="Times New Roman"/>
              </w:rPr>
            </w:pPr>
            <w:r w:rsidRPr="000E06C7">
              <w:rPr>
                <w:rFonts w:ascii="Times New Roman" w:hAnsi="Times New Roman"/>
              </w:rPr>
              <w:t xml:space="preserve">Практика студентов, обучающихся по направлению магистратуры, является одной из основных форм учебного процесса, направленных на формирование и воспитание высококвалифицированных. </w:t>
            </w:r>
          </w:p>
          <w:p w:rsidR="000E06C7" w:rsidRPr="000E06C7" w:rsidRDefault="000E06C7" w:rsidP="003E68EA">
            <w:pPr>
              <w:pStyle w:val="a8"/>
              <w:rPr>
                <w:rFonts w:ascii="Times New Roman" w:hAnsi="Times New Roman"/>
              </w:rPr>
            </w:pPr>
            <w:r w:rsidRPr="000E06C7">
              <w:rPr>
                <w:rFonts w:ascii="Times New Roman" w:hAnsi="Times New Roman"/>
              </w:rPr>
              <w:t>Программа практики дополняется индивидуальными заданиями каждому магистранту. Перечень вопросов, которые студенты изучают и выполняют на практике, их детализация и глубина проработки, а также характер индивидуальных заданий зависит от вида практики.</w:t>
            </w:r>
          </w:p>
        </w:tc>
      </w:tr>
      <w:tr w:rsidR="000E06C7" w:rsidRPr="00203325" w:rsidTr="003E68E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C7" w:rsidRPr="00E95255" w:rsidRDefault="000E06C7" w:rsidP="00D2120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7" w:rsidRPr="000E06C7" w:rsidRDefault="000E06C7" w:rsidP="000E06C7">
            <w:pPr>
              <w:rPr>
                <w:bCs/>
                <w:sz w:val="20"/>
                <w:szCs w:val="20"/>
              </w:rPr>
            </w:pPr>
            <w:r w:rsidRPr="000E06C7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8EA" w:rsidRDefault="000E06C7" w:rsidP="003E68EA">
            <w:pPr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>Итоговая государственная аттестация магистранта включает итоговый государственный экзамен и защиту выпускной квалификационной работы и направлена на установление уровня профессиональной подготовки выпускников требованиям ФГОС</w:t>
            </w:r>
            <w:r w:rsidR="003E68EA" w:rsidRPr="003E68EA">
              <w:rPr>
                <w:sz w:val="20"/>
                <w:szCs w:val="20"/>
              </w:rPr>
              <w:t xml:space="preserve"> </w:t>
            </w:r>
            <w:proofErr w:type="gramStart"/>
            <w:r w:rsidR="003E68EA">
              <w:rPr>
                <w:sz w:val="20"/>
                <w:szCs w:val="20"/>
              </w:rPr>
              <w:t>ВО</w:t>
            </w:r>
            <w:proofErr w:type="gramEnd"/>
            <w:r w:rsidR="003E68EA">
              <w:rPr>
                <w:sz w:val="20"/>
                <w:szCs w:val="20"/>
              </w:rPr>
              <w:t>.</w:t>
            </w:r>
          </w:p>
          <w:p w:rsidR="000E06C7" w:rsidRPr="000E06C7" w:rsidRDefault="000E06C7" w:rsidP="003E68EA">
            <w:pPr>
              <w:rPr>
                <w:sz w:val="20"/>
                <w:szCs w:val="20"/>
              </w:rPr>
            </w:pPr>
            <w:r w:rsidRPr="000E06C7">
              <w:rPr>
                <w:sz w:val="20"/>
                <w:szCs w:val="20"/>
              </w:rPr>
              <w:t xml:space="preserve">Итоговый государственный экзамен базируется на знаниях, умениях и компетенциях магистранта, полученных им при изучении </w:t>
            </w:r>
            <w:r w:rsidRPr="000E06C7">
              <w:rPr>
                <w:sz w:val="20"/>
                <w:szCs w:val="20"/>
              </w:rPr>
              <w:lastRenderedPageBreak/>
              <w:t>базовых курсов, которые и обеспечивают подготовку грамотных специалистов.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210175" w:rsidRPr="0041034C" w:rsidRDefault="00A21C85" w:rsidP="001202E9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0E06C7">
        <w:t xml:space="preserve">Ю.Ю. </w:t>
      </w:r>
      <w:proofErr w:type="spellStart"/>
      <w:r w:rsidR="000E06C7">
        <w:t>Моржерин</w:t>
      </w:r>
      <w:proofErr w:type="spellEnd"/>
    </w:p>
    <w:p w:rsidR="00210175" w:rsidRPr="0041034C" w:rsidRDefault="00210175" w:rsidP="00210175"/>
    <w:p w:rsidR="00210175" w:rsidRDefault="00210175" w:rsidP="00210175"/>
    <w:p w:rsidR="00210175" w:rsidRPr="0041034C" w:rsidRDefault="00210175" w:rsidP="00210175"/>
    <w:p w:rsidR="00210175" w:rsidRPr="00117920" w:rsidRDefault="00210175" w:rsidP="00117920">
      <w:pPr>
        <w:tabs>
          <w:tab w:val="left" w:pos="-4253"/>
        </w:tabs>
        <w:jc w:val="both"/>
      </w:pPr>
    </w:p>
    <w:sectPr w:rsidR="00210175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BC52C0"/>
    <w:rsid w:val="00003867"/>
    <w:rsid w:val="0000417B"/>
    <w:rsid w:val="000A766A"/>
    <w:rsid w:val="000B468A"/>
    <w:rsid w:val="000E06C7"/>
    <w:rsid w:val="00117920"/>
    <w:rsid w:val="001202E9"/>
    <w:rsid w:val="00121977"/>
    <w:rsid w:val="00131F64"/>
    <w:rsid w:val="0016290F"/>
    <w:rsid w:val="0017111D"/>
    <w:rsid w:val="001715AF"/>
    <w:rsid w:val="001C22AD"/>
    <w:rsid w:val="00203325"/>
    <w:rsid w:val="00205627"/>
    <w:rsid w:val="00210175"/>
    <w:rsid w:val="00216D8B"/>
    <w:rsid w:val="00222067"/>
    <w:rsid w:val="0023187E"/>
    <w:rsid w:val="00240165"/>
    <w:rsid w:val="002743A9"/>
    <w:rsid w:val="002816A0"/>
    <w:rsid w:val="002B1CDD"/>
    <w:rsid w:val="002B2AC8"/>
    <w:rsid w:val="002E0F9D"/>
    <w:rsid w:val="002E15E9"/>
    <w:rsid w:val="002F0151"/>
    <w:rsid w:val="003205D6"/>
    <w:rsid w:val="00366FE3"/>
    <w:rsid w:val="00381F8D"/>
    <w:rsid w:val="00386559"/>
    <w:rsid w:val="003A6223"/>
    <w:rsid w:val="003C6E74"/>
    <w:rsid w:val="003E68EA"/>
    <w:rsid w:val="0040453F"/>
    <w:rsid w:val="00406159"/>
    <w:rsid w:val="004119DD"/>
    <w:rsid w:val="00422BF2"/>
    <w:rsid w:val="0044619A"/>
    <w:rsid w:val="00475AE1"/>
    <w:rsid w:val="004866C0"/>
    <w:rsid w:val="0049773F"/>
    <w:rsid w:val="004B267B"/>
    <w:rsid w:val="004C38DF"/>
    <w:rsid w:val="005019D3"/>
    <w:rsid w:val="00530BDC"/>
    <w:rsid w:val="00532364"/>
    <w:rsid w:val="00534DAA"/>
    <w:rsid w:val="00553833"/>
    <w:rsid w:val="005620E5"/>
    <w:rsid w:val="005A680F"/>
    <w:rsid w:val="005B0350"/>
    <w:rsid w:val="005D545C"/>
    <w:rsid w:val="006217E6"/>
    <w:rsid w:val="006343A8"/>
    <w:rsid w:val="006348F8"/>
    <w:rsid w:val="00640828"/>
    <w:rsid w:val="00666CF6"/>
    <w:rsid w:val="006919B6"/>
    <w:rsid w:val="006A0DBB"/>
    <w:rsid w:val="006A2CEA"/>
    <w:rsid w:val="006A42CE"/>
    <w:rsid w:val="006B4E74"/>
    <w:rsid w:val="006D253F"/>
    <w:rsid w:val="006D50CC"/>
    <w:rsid w:val="006E15C9"/>
    <w:rsid w:val="006F0EB5"/>
    <w:rsid w:val="006F2928"/>
    <w:rsid w:val="006F3FFF"/>
    <w:rsid w:val="00705CC5"/>
    <w:rsid w:val="00747E08"/>
    <w:rsid w:val="00751D13"/>
    <w:rsid w:val="0075577F"/>
    <w:rsid w:val="00776347"/>
    <w:rsid w:val="007A59F0"/>
    <w:rsid w:val="007B104F"/>
    <w:rsid w:val="007B37A4"/>
    <w:rsid w:val="007E5ADF"/>
    <w:rsid w:val="0080107D"/>
    <w:rsid w:val="00806FFC"/>
    <w:rsid w:val="00831833"/>
    <w:rsid w:val="00856C68"/>
    <w:rsid w:val="00863539"/>
    <w:rsid w:val="008814DE"/>
    <w:rsid w:val="008846D7"/>
    <w:rsid w:val="008865C9"/>
    <w:rsid w:val="00897A52"/>
    <w:rsid w:val="008B51CF"/>
    <w:rsid w:val="008C1F9D"/>
    <w:rsid w:val="008C3CB0"/>
    <w:rsid w:val="008D4D33"/>
    <w:rsid w:val="008E51CE"/>
    <w:rsid w:val="009122F8"/>
    <w:rsid w:val="0094031A"/>
    <w:rsid w:val="00944023"/>
    <w:rsid w:val="00946E1C"/>
    <w:rsid w:val="009519A3"/>
    <w:rsid w:val="00983034"/>
    <w:rsid w:val="00986028"/>
    <w:rsid w:val="009C3E74"/>
    <w:rsid w:val="009F47D4"/>
    <w:rsid w:val="00A1733A"/>
    <w:rsid w:val="00A21479"/>
    <w:rsid w:val="00A21C85"/>
    <w:rsid w:val="00A2355B"/>
    <w:rsid w:val="00A470C2"/>
    <w:rsid w:val="00A61FB6"/>
    <w:rsid w:val="00A633A5"/>
    <w:rsid w:val="00A926F8"/>
    <w:rsid w:val="00A9454C"/>
    <w:rsid w:val="00AC2D9D"/>
    <w:rsid w:val="00AC6C94"/>
    <w:rsid w:val="00AE6F9D"/>
    <w:rsid w:val="00AF5C71"/>
    <w:rsid w:val="00B03D2B"/>
    <w:rsid w:val="00B6509C"/>
    <w:rsid w:val="00B9031E"/>
    <w:rsid w:val="00B91ABB"/>
    <w:rsid w:val="00BA19F0"/>
    <w:rsid w:val="00BB25AC"/>
    <w:rsid w:val="00BC326A"/>
    <w:rsid w:val="00BC52C0"/>
    <w:rsid w:val="00BE28DA"/>
    <w:rsid w:val="00C00221"/>
    <w:rsid w:val="00C07ED6"/>
    <w:rsid w:val="00C12827"/>
    <w:rsid w:val="00C228F1"/>
    <w:rsid w:val="00C503B3"/>
    <w:rsid w:val="00C56D68"/>
    <w:rsid w:val="00C96AF3"/>
    <w:rsid w:val="00CF329B"/>
    <w:rsid w:val="00D01173"/>
    <w:rsid w:val="00D1348C"/>
    <w:rsid w:val="00D172ED"/>
    <w:rsid w:val="00D2120D"/>
    <w:rsid w:val="00D41BA7"/>
    <w:rsid w:val="00D64E1E"/>
    <w:rsid w:val="00D6544C"/>
    <w:rsid w:val="00D71342"/>
    <w:rsid w:val="00D851D7"/>
    <w:rsid w:val="00DC5234"/>
    <w:rsid w:val="00DD30BE"/>
    <w:rsid w:val="00DF7608"/>
    <w:rsid w:val="00E10A36"/>
    <w:rsid w:val="00E12DC5"/>
    <w:rsid w:val="00E4482C"/>
    <w:rsid w:val="00E712C9"/>
    <w:rsid w:val="00E76ACE"/>
    <w:rsid w:val="00E82E03"/>
    <w:rsid w:val="00E95255"/>
    <w:rsid w:val="00EA2F26"/>
    <w:rsid w:val="00EC43B2"/>
    <w:rsid w:val="00EC7BE4"/>
    <w:rsid w:val="00F04CFF"/>
    <w:rsid w:val="00F350B0"/>
    <w:rsid w:val="00F37A0B"/>
    <w:rsid w:val="00F46C13"/>
    <w:rsid w:val="00F7187F"/>
    <w:rsid w:val="00F839E1"/>
    <w:rsid w:val="00F8792C"/>
    <w:rsid w:val="00FC028B"/>
    <w:rsid w:val="00FC1B44"/>
    <w:rsid w:val="00FC2CF0"/>
    <w:rsid w:val="00FC676E"/>
    <w:rsid w:val="00FD2D31"/>
    <w:rsid w:val="00FD61BF"/>
    <w:rsid w:val="00FE1D6F"/>
    <w:rsid w:val="00FF3484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210175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475AE1"/>
    <w:pPr>
      <w:ind w:firstLine="567"/>
      <w:jc w:val="both"/>
    </w:pPr>
    <w:rPr>
      <w:rFonts w:cs="TimesNewRoman"/>
      <w:szCs w:val="20"/>
    </w:rPr>
  </w:style>
  <w:style w:type="character" w:customStyle="1" w:styleId="a6">
    <w:name w:val="Основной текст с отступом Знак"/>
    <w:link w:val="a5"/>
    <w:rsid w:val="00475AE1"/>
    <w:rPr>
      <w:rFonts w:cs="TimesNewRoman"/>
      <w:sz w:val="24"/>
    </w:rPr>
  </w:style>
  <w:style w:type="paragraph" w:customStyle="1" w:styleId="Style13">
    <w:name w:val="Style13"/>
    <w:basedOn w:val="a"/>
    <w:uiPriority w:val="99"/>
    <w:rsid w:val="00D64E1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22">
    <w:name w:val="Font Style22"/>
    <w:uiPriority w:val="99"/>
    <w:rsid w:val="00D64E1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134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712C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2CF0"/>
  </w:style>
  <w:style w:type="paragraph" w:styleId="a8">
    <w:name w:val="Plain Text"/>
    <w:basedOn w:val="a"/>
    <w:link w:val="a9"/>
    <w:uiPriority w:val="99"/>
    <w:rsid w:val="000E06C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0E06C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EA44-52E1-476C-96D0-51A10452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1398</Words>
  <Characters>11206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user</cp:lastModifiedBy>
  <cp:revision>4</cp:revision>
  <cp:lastPrinted>2013-11-12T03:35:00Z</cp:lastPrinted>
  <dcterms:created xsi:type="dcterms:W3CDTF">2016-05-05T14:54:00Z</dcterms:created>
  <dcterms:modified xsi:type="dcterms:W3CDTF">2016-05-06T02:30:00Z</dcterms:modified>
</cp:coreProperties>
</file>